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8650" w14:textId="77777777" w:rsidR="006E2608" w:rsidRDefault="005A50B4">
      <w:pPr>
        <w:snapToGrid w:val="0"/>
        <w:spacing w:line="240" w:lineRule="atLeast"/>
        <w:ind w:left="1222" w:hanging="1222"/>
        <w:jc w:val="center"/>
        <w:rPr>
          <w:rFonts w:ascii="標楷體" w:eastAsia="標楷體" w:hAnsi="標楷體"/>
          <w:b/>
          <w:color w:val="000000"/>
          <w:kern w:val="0"/>
          <w:sz w:val="32"/>
          <w:szCs w:val="32"/>
        </w:rPr>
      </w:pPr>
      <w:r>
        <w:rPr>
          <w:rFonts w:ascii="標楷體" w:eastAsia="標楷體" w:hAnsi="標楷體"/>
          <w:b/>
          <w:color w:val="000000"/>
          <w:kern w:val="0"/>
          <w:sz w:val="32"/>
          <w:szCs w:val="32"/>
        </w:rPr>
        <w:t>國立</w:t>
      </w:r>
      <w:proofErr w:type="gramStart"/>
      <w:r>
        <w:rPr>
          <w:rFonts w:ascii="標楷體" w:eastAsia="標楷體" w:hAnsi="標楷體"/>
          <w:b/>
          <w:color w:val="000000"/>
          <w:kern w:val="0"/>
          <w:sz w:val="32"/>
          <w:szCs w:val="32"/>
        </w:rPr>
        <w:t>臺</w:t>
      </w:r>
      <w:proofErr w:type="gramEnd"/>
      <w:r>
        <w:rPr>
          <w:rFonts w:ascii="標楷體" w:eastAsia="標楷體" w:hAnsi="標楷體"/>
          <w:b/>
          <w:color w:val="000000"/>
          <w:kern w:val="0"/>
          <w:sz w:val="32"/>
          <w:szCs w:val="32"/>
        </w:rPr>
        <w:t>北科技大學電資學院辦理教師</w:t>
      </w:r>
    </w:p>
    <w:p w14:paraId="61D6A498" w14:textId="77777777" w:rsidR="006E2608" w:rsidRDefault="005A50B4">
      <w:pPr>
        <w:snapToGrid w:val="0"/>
        <w:spacing w:line="240" w:lineRule="atLeast"/>
        <w:ind w:left="1222" w:hanging="1222"/>
        <w:jc w:val="center"/>
        <w:rPr>
          <w:rFonts w:ascii="標楷體" w:eastAsia="標楷體" w:hAnsi="標楷體"/>
          <w:b/>
          <w:color w:val="000000"/>
          <w:kern w:val="0"/>
          <w:sz w:val="32"/>
          <w:szCs w:val="32"/>
        </w:rPr>
      </w:pPr>
      <w:r>
        <w:rPr>
          <w:rFonts w:ascii="標楷體" w:eastAsia="標楷體" w:hAnsi="標楷體"/>
          <w:b/>
          <w:color w:val="000000"/>
          <w:kern w:val="0"/>
          <w:sz w:val="32"/>
          <w:szCs w:val="32"/>
        </w:rPr>
        <w:t>非屬專門著作之其他研究成果、教學、服務評審準則</w:t>
      </w:r>
    </w:p>
    <w:p w14:paraId="02754CE4" w14:textId="77777777" w:rsidR="006E2608" w:rsidRDefault="005A50B4">
      <w:pPr>
        <w:snapToGrid w:val="0"/>
        <w:jc w:val="right"/>
        <w:rPr>
          <w:rFonts w:ascii="標楷體" w:eastAsia="標楷體" w:hAnsi="標楷體"/>
          <w:color w:val="000000"/>
          <w:sz w:val="20"/>
        </w:rPr>
      </w:pPr>
      <w:r>
        <w:rPr>
          <w:rFonts w:ascii="標楷體" w:eastAsia="標楷體" w:hAnsi="標楷體"/>
          <w:color w:val="000000"/>
          <w:sz w:val="20"/>
        </w:rPr>
        <w:t>101年3月29日院教評會議通過</w:t>
      </w:r>
    </w:p>
    <w:p w14:paraId="691368FE" w14:textId="77777777" w:rsidR="006E2608" w:rsidRDefault="005A50B4">
      <w:pPr>
        <w:snapToGrid w:val="0"/>
        <w:jc w:val="right"/>
        <w:rPr>
          <w:rFonts w:ascii="標楷體" w:eastAsia="標楷體" w:hAnsi="標楷體"/>
          <w:color w:val="000000"/>
          <w:sz w:val="20"/>
        </w:rPr>
      </w:pPr>
      <w:r>
        <w:rPr>
          <w:rFonts w:ascii="標楷體" w:eastAsia="標楷體" w:hAnsi="標楷體"/>
          <w:color w:val="000000"/>
          <w:sz w:val="20"/>
        </w:rPr>
        <w:t>106年3月29日院教評會議修正通過</w:t>
      </w:r>
    </w:p>
    <w:p w14:paraId="28AFD1E3" w14:textId="77777777" w:rsidR="006E2608" w:rsidRDefault="005A50B4">
      <w:pPr>
        <w:snapToGrid w:val="0"/>
        <w:jc w:val="right"/>
        <w:rPr>
          <w:rFonts w:ascii="標楷體" w:eastAsia="標楷體" w:hAnsi="標楷體"/>
          <w:color w:val="000000"/>
          <w:sz w:val="20"/>
        </w:rPr>
      </w:pPr>
      <w:r>
        <w:rPr>
          <w:rFonts w:ascii="標楷體" w:eastAsia="標楷體" w:hAnsi="標楷體"/>
          <w:color w:val="000000"/>
          <w:sz w:val="20"/>
        </w:rPr>
        <w:t xml:space="preserve">                                                              108年6月19日院教評會議修正通過</w:t>
      </w:r>
    </w:p>
    <w:p w14:paraId="7C13B45F" w14:textId="77777777" w:rsidR="006E2608" w:rsidRDefault="005A50B4">
      <w:pPr>
        <w:snapToGrid w:val="0"/>
        <w:ind w:firstLine="4800"/>
        <w:jc w:val="right"/>
        <w:rPr>
          <w:rFonts w:ascii="標楷體" w:eastAsia="標楷體" w:hAnsi="標楷體"/>
          <w:color w:val="000000"/>
          <w:sz w:val="20"/>
        </w:rPr>
      </w:pPr>
      <w:r>
        <w:rPr>
          <w:rFonts w:ascii="標楷體" w:eastAsia="標楷體" w:hAnsi="標楷體"/>
          <w:color w:val="000000"/>
          <w:sz w:val="20"/>
        </w:rPr>
        <w:t>108年6月28日校教評會議修正通過</w:t>
      </w:r>
    </w:p>
    <w:p w14:paraId="1AFBA896" w14:textId="77777777" w:rsidR="006E2608" w:rsidRDefault="005A50B4">
      <w:pPr>
        <w:snapToGrid w:val="0"/>
        <w:ind w:firstLine="4800"/>
        <w:jc w:val="right"/>
        <w:rPr>
          <w:rFonts w:ascii="標楷體" w:eastAsia="標楷體" w:hAnsi="標楷體"/>
          <w:color w:val="000000"/>
          <w:sz w:val="20"/>
        </w:rPr>
      </w:pPr>
      <w:r>
        <w:rPr>
          <w:rFonts w:ascii="標楷體" w:eastAsia="標楷體" w:hAnsi="標楷體"/>
          <w:color w:val="000000"/>
          <w:sz w:val="20"/>
        </w:rPr>
        <w:t>111年5月27日院教評會議修正通過</w:t>
      </w:r>
    </w:p>
    <w:p w14:paraId="31C64AE0" w14:textId="77777777" w:rsidR="00627530" w:rsidRDefault="00627530" w:rsidP="00627530">
      <w:pPr>
        <w:snapToGrid w:val="0"/>
        <w:ind w:firstLine="4800"/>
        <w:jc w:val="right"/>
        <w:rPr>
          <w:rFonts w:ascii="標楷體" w:eastAsia="標楷體" w:hAnsi="標楷體"/>
          <w:sz w:val="20"/>
        </w:rPr>
      </w:pPr>
      <w:r>
        <w:rPr>
          <w:rFonts w:ascii="標楷體" w:eastAsia="標楷體" w:hAnsi="標楷體"/>
          <w:sz w:val="20"/>
        </w:rPr>
        <w:t>111年6月24日校教評會議通過</w:t>
      </w:r>
    </w:p>
    <w:p w14:paraId="6689B3D8" w14:textId="28C1432B" w:rsidR="00384A03" w:rsidRDefault="00384A03" w:rsidP="00627530">
      <w:pPr>
        <w:snapToGrid w:val="0"/>
        <w:ind w:firstLine="4800"/>
        <w:jc w:val="right"/>
        <w:rPr>
          <w:rFonts w:ascii="標楷體" w:eastAsia="標楷體" w:hAnsi="標楷體"/>
          <w:sz w:val="20"/>
        </w:rPr>
      </w:pPr>
      <w:r>
        <w:rPr>
          <w:rFonts w:ascii="標楷體" w:eastAsia="標楷體" w:hAnsi="標楷體"/>
          <w:color w:val="000000"/>
          <w:sz w:val="20"/>
        </w:rPr>
        <w:t>112年</w:t>
      </w:r>
      <w:r>
        <w:rPr>
          <w:rFonts w:ascii="標楷體" w:eastAsia="標楷體" w:hAnsi="標楷體" w:hint="eastAsia"/>
          <w:color w:val="000000"/>
          <w:sz w:val="20"/>
        </w:rPr>
        <w:t>1</w:t>
      </w:r>
      <w:r>
        <w:rPr>
          <w:rFonts w:ascii="標楷體" w:eastAsia="標楷體" w:hAnsi="標楷體"/>
          <w:color w:val="000000"/>
          <w:sz w:val="20"/>
        </w:rPr>
        <w:t>0月26日</w:t>
      </w:r>
      <w:r>
        <w:rPr>
          <w:rFonts w:ascii="標楷體" w:eastAsia="標楷體" w:hAnsi="標楷體" w:hint="eastAsia"/>
          <w:color w:val="000000"/>
          <w:sz w:val="20"/>
        </w:rPr>
        <w:t>院</w:t>
      </w:r>
      <w:r>
        <w:rPr>
          <w:rFonts w:ascii="標楷體" w:eastAsia="標楷體" w:hAnsi="標楷體"/>
          <w:color w:val="000000"/>
          <w:sz w:val="20"/>
        </w:rPr>
        <w:t>教評會議修正</w:t>
      </w:r>
      <w:r w:rsidR="00BA366E">
        <w:rPr>
          <w:rFonts w:ascii="標楷體" w:eastAsia="標楷體" w:hAnsi="標楷體"/>
          <w:sz w:val="20"/>
        </w:rPr>
        <w:t>通過</w:t>
      </w:r>
    </w:p>
    <w:p w14:paraId="4A0EB86F" w14:textId="04DCB248" w:rsidR="00627530" w:rsidRDefault="00627530" w:rsidP="00627530">
      <w:pPr>
        <w:snapToGrid w:val="0"/>
        <w:ind w:firstLine="4800"/>
        <w:jc w:val="right"/>
        <w:rPr>
          <w:rFonts w:ascii="標楷體" w:eastAsia="標楷體" w:hAnsi="標楷體"/>
          <w:sz w:val="20"/>
        </w:rPr>
      </w:pPr>
      <w:r>
        <w:rPr>
          <w:rFonts w:ascii="標楷體" w:eastAsia="標楷體" w:hAnsi="標楷體"/>
          <w:sz w:val="20"/>
        </w:rPr>
        <w:t>111年</w:t>
      </w:r>
      <w:r>
        <w:rPr>
          <w:rFonts w:ascii="標楷體" w:eastAsia="標楷體" w:hAnsi="標楷體" w:hint="eastAsia"/>
          <w:sz w:val="20"/>
        </w:rPr>
        <w:t>1</w:t>
      </w:r>
      <w:r>
        <w:rPr>
          <w:rFonts w:ascii="標楷體" w:eastAsia="標楷體" w:hAnsi="標楷體"/>
          <w:sz w:val="20"/>
        </w:rPr>
        <w:t>1</w:t>
      </w:r>
      <w:r>
        <w:rPr>
          <w:rFonts w:ascii="標楷體" w:eastAsia="標楷體" w:hAnsi="標楷體"/>
          <w:sz w:val="20"/>
        </w:rPr>
        <w:t>月</w:t>
      </w:r>
      <w:r>
        <w:rPr>
          <w:rFonts w:ascii="標楷體" w:eastAsia="標楷體" w:hAnsi="標楷體" w:hint="eastAsia"/>
          <w:sz w:val="20"/>
        </w:rPr>
        <w:t>1</w:t>
      </w:r>
      <w:r>
        <w:rPr>
          <w:rFonts w:ascii="標楷體" w:eastAsia="標楷體" w:hAnsi="標楷體"/>
          <w:sz w:val="20"/>
        </w:rPr>
        <w:t>0</w:t>
      </w:r>
      <w:r>
        <w:rPr>
          <w:rFonts w:ascii="標楷體" w:eastAsia="標楷體" w:hAnsi="標楷體"/>
          <w:sz w:val="20"/>
        </w:rPr>
        <w:t>日校教評會議通過</w:t>
      </w:r>
    </w:p>
    <w:p w14:paraId="437F3093" w14:textId="4BC55C28" w:rsidR="006E2608" w:rsidRDefault="006E2608" w:rsidP="00627530">
      <w:pPr>
        <w:snapToGrid w:val="0"/>
        <w:spacing w:after="180"/>
        <w:ind w:left="917" w:hanging="917"/>
        <w:jc w:val="right"/>
      </w:pPr>
    </w:p>
    <w:p w14:paraId="01774615"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r>
        <w:rPr>
          <w:rFonts w:ascii="標楷體" w:eastAsia="標楷體" w:hAnsi="標楷體"/>
          <w:color w:val="000000"/>
          <w:kern w:val="0"/>
          <w:sz w:val="28"/>
          <w:szCs w:val="28"/>
        </w:rPr>
        <w:t>依據「國立</w:t>
      </w:r>
      <w:proofErr w:type="gramStart"/>
      <w:r>
        <w:rPr>
          <w:rFonts w:ascii="標楷體" w:eastAsia="標楷體" w:hAnsi="標楷體"/>
          <w:color w:val="000000"/>
          <w:kern w:val="0"/>
          <w:sz w:val="28"/>
          <w:szCs w:val="28"/>
        </w:rPr>
        <w:t>臺</w:t>
      </w:r>
      <w:proofErr w:type="gramEnd"/>
      <w:r>
        <w:rPr>
          <w:rFonts w:ascii="標楷體" w:eastAsia="標楷體" w:hAnsi="標楷體"/>
          <w:color w:val="000000"/>
          <w:kern w:val="0"/>
          <w:sz w:val="28"/>
          <w:szCs w:val="28"/>
        </w:rPr>
        <w:t>北科技大學教師</w:t>
      </w:r>
      <w:proofErr w:type="gramStart"/>
      <w:r>
        <w:rPr>
          <w:rFonts w:ascii="標楷體" w:eastAsia="標楷體" w:hAnsi="標楷體"/>
          <w:color w:val="000000"/>
          <w:kern w:val="0"/>
          <w:sz w:val="28"/>
          <w:szCs w:val="28"/>
        </w:rPr>
        <w:t>聘任暨升等</w:t>
      </w:r>
      <w:proofErr w:type="gramEnd"/>
      <w:r>
        <w:rPr>
          <w:rFonts w:ascii="標楷體" w:eastAsia="標楷體" w:hAnsi="標楷體"/>
          <w:color w:val="000000"/>
          <w:kern w:val="0"/>
          <w:sz w:val="28"/>
          <w:szCs w:val="28"/>
        </w:rPr>
        <w:t>審查辦法」與「國立</w:t>
      </w:r>
      <w:proofErr w:type="gramStart"/>
      <w:r>
        <w:rPr>
          <w:rFonts w:ascii="標楷體" w:eastAsia="標楷體" w:hAnsi="標楷體"/>
          <w:color w:val="000000"/>
          <w:kern w:val="0"/>
          <w:sz w:val="28"/>
          <w:szCs w:val="28"/>
        </w:rPr>
        <w:t>臺</w:t>
      </w:r>
      <w:proofErr w:type="gramEnd"/>
      <w:r>
        <w:rPr>
          <w:rFonts w:ascii="標楷體" w:eastAsia="標楷體" w:hAnsi="標楷體"/>
          <w:color w:val="000000"/>
          <w:kern w:val="0"/>
          <w:sz w:val="28"/>
          <w:szCs w:val="28"/>
        </w:rPr>
        <w:t>北科技大學辦理教師非屬專門著作之其他研究成果評審作業注意事項」之規定，特訂定「國立</w:t>
      </w:r>
      <w:proofErr w:type="gramStart"/>
      <w:r>
        <w:rPr>
          <w:rFonts w:ascii="標楷體" w:eastAsia="標楷體" w:hAnsi="標楷體"/>
          <w:color w:val="000000"/>
          <w:kern w:val="0"/>
          <w:sz w:val="28"/>
          <w:szCs w:val="28"/>
        </w:rPr>
        <w:t>臺</w:t>
      </w:r>
      <w:proofErr w:type="gramEnd"/>
      <w:r>
        <w:rPr>
          <w:rFonts w:ascii="標楷體" w:eastAsia="標楷體" w:hAnsi="標楷體"/>
          <w:color w:val="000000"/>
          <w:kern w:val="0"/>
          <w:sz w:val="28"/>
          <w:szCs w:val="28"/>
        </w:rPr>
        <w:t>北科技大學電資學院辦理教師非屬專門著作之其他研究成果、教學、服務評審準則」(以下簡稱本準則)，辦理電資學院(以下簡稱本院)教師升等非屬專門著作之其他研究成果(以下簡稱非屬專門著作) 、教學、服務（含輔導與推廣）審查作業。</w:t>
      </w:r>
    </w:p>
    <w:p w14:paraId="57C83C77"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r>
        <w:rPr>
          <w:rFonts w:ascii="標楷體" w:eastAsia="標楷體" w:hAnsi="標楷體"/>
          <w:color w:val="000000"/>
          <w:kern w:val="0"/>
          <w:sz w:val="28"/>
          <w:szCs w:val="28"/>
        </w:rPr>
        <w:t>院教評會議評審送審教師非屬專門著作之其他研究成果時，應就各升等教師所提各項具體事蹟或佐證資料逐一詳閱，並依本準則</w:t>
      </w:r>
      <w:proofErr w:type="gramStart"/>
      <w:r>
        <w:rPr>
          <w:rFonts w:ascii="標楷體" w:eastAsia="標楷體" w:hAnsi="標楷體"/>
          <w:color w:val="000000"/>
          <w:kern w:val="0"/>
          <w:sz w:val="28"/>
          <w:szCs w:val="28"/>
        </w:rPr>
        <w:t>覈實逐</w:t>
      </w:r>
      <w:proofErr w:type="gramEnd"/>
      <w:r>
        <w:rPr>
          <w:rFonts w:ascii="標楷體" w:eastAsia="標楷體" w:hAnsi="標楷體"/>
          <w:color w:val="000000"/>
          <w:kern w:val="0"/>
          <w:sz w:val="28"/>
          <w:szCs w:val="28"/>
        </w:rPr>
        <w:t>項評定點數（加總計至小數點以下第一位，以四捨五入），最後依總點數，</w:t>
      </w:r>
      <w:proofErr w:type="gramStart"/>
      <w:r>
        <w:rPr>
          <w:rFonts w:ascii="標楷體" w:eastAsia="標楷體" w:hAnsi="標楷體"/>
          <w:color w:val="000000"/>
          <w:kern w:val="0"/>
          <w:sz w:val="28"/>
          <w:szCs w:val="28"/>
        </w:rPr>
        <w:t>於給訂範圍</w:t>
      </w:r>
      <w:proofErr w:type="gramEnd"/>
      <w:r>
        <w:rPr>
          <w:rFonts w:ascii="標楷體" w:eastAsia="標楷體" w:hAnsi="標楷體"/>
          <w:color w:val="000000"/>
          <w:kern w:val="0"/>
          <w:sz w:val="28"/>
          <w:szCs w:val="28"/>
        </w:rPr>
        <w:t>內評定分數。</w:t>
      </w:r>
    </w:p>
    <w:p w14:paraId="37C47AD9"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r>
        <w:rPr>
          <w:rFonts w:ascii="標楷體" w:eastAsia="標楷體" w:hAnsi="標楷體"/>
          <w:color w:val="000000"/>
          <w:kern w:val="0"/>
          <w:sz w:val="28"/>
          <w:szCs w:val="28"/>
        </w:rPr>
        <w:t>有關本院</w:t>
      </w:r>
      <w:proofErr w:type="gramStart"/>
      <w:r>
        <w:rPr>
          <w:rFonts w:ascii="標楷體" w:eastAsia="標楷體" w:hAnsi="標楷體"/>
          <w:color w:val="000000"/>
          <w:kern w:val="0"/>
          <w:sz w:val="28"/>
          <w:szCs w:val="28"/>
        </w:rPr>
        <w:t>院級教</w:t>
      </w:r>
      <w:proofErr w:type="gramEnd"/>
      <w:r>
        <w:rPr>
          <w:rFonts w:ascii="標楷體" w:eastAsia="標楷體" w:hAnsi="標楷體"/>
          <w:color w:val="000000"/>
          <w:kern w:val="0"/>
          <w:sz w:val="28"/>
          <w:szCs w:val="28"/>
        </w:rPr>
        <w:t>評會</w:t>
      </w:r>
      <w:proofErr w:type="gramStart"/>
      <w:r>
        <w:rPr>
          <w:rFonts w:ascii="標楷體" w:eastAsia="標楷體" w:hAnsi="標楷體"/>
          <w:color w:val="000000"/>
          <w:kern w:val="0"/>
          <w:sz w:val="28"/>
          <w:szCs w:val="28"/>
        </w:rPr>
        <w:t>複</w:t>
      </w:r>
      <w:proofErr w:type="gramEnd"/>
      <w:r>
        <w:rPr>
          <w:rFonts w:ascii="標楷體" w:eastAsia="標楷體" w:hAnsi="標楷體"/>
          <w:color w:val="000000"/>
          <w:kern w:val="0"/>
          <w:sz w:val="28"/>
          <w:szCs w:val="28"/>
        </w:rPr>
        <w:t>審教師升等之研究、教學、服務（含輔導與推廣）之審查項目、比重與成績計算如下表：</w:t>
      </w:r>
    </w:p>
    <w:tbl>
      <w:tblPr>
        <w:tblW w:w="9364" w:type="dxa"/>
        <w:tblInd w:w="239" w:type="dxa"/>
        <w:tblCellMar>
          <w:left w:w="10" w:type="dxa"/>
          <w:right w:w="10" w:type="dxa"/>
        </w:tblCellMar>
        <w:tblLook w:val="04A0" w:firstRow="1" w:lastRow="0" w:firstColumn="1" w:lastColumn="0" w:noHBand="0" w:noVBand="1"/>
      </w:tblPr>
      <w:tblGrid>
        <w:gridCol w:w="2017"/>
        <w:gridCol w:w="1836"/>
        <w:gridCol w:w="3956"/>
        <w:gridCol w:w="1555"/>
      </w:tblGrid>
      <w:tr w:rsidR="006E2608" w14:paraId="353A6F4F" w14:textId="77777777">
        <w:trPr>
          <w:trHeight w:val="494"/>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99F11"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總成績比重</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8068D"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審查項目與成績計算</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00B9E"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總成績</w:t>
            </w:r>
          </w:p>
        </w:tc>
      </w:tr>
      <w:tr w:rsidR="006E2608" w14:paraId="71ED50F0" w14:textId="77777777">
        <w:trPr>
          <w:trHeight w:val="1077"/>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D0B68" w14:textId="77777777" w:rsidR="006E2608" w:rsidRDefault="005A50B4">
            <w:pPr>
              <w:snapToGrid w:val="0"/>
              <w:spacing w:line="360" w:lineRule="auto"/>
              <w:ind w:left="-52"/>
              <w:jc w:val="center"/>
              <w:rPr>
                <w:rFonts w:ascii="標楷體" w:eastAsia="標楷體" w:hAnsi="標楷體"/>
                <w:color w:val="000000"/>
                <w:kern w:val="0"/>
              </w:rPr>
            </w:pPr>
            <w:r>
              <w:rPr>
                <w:rFonts w:ascii="標楷體" w:eastAsia="標楷體" w:hAnsi="標楷體"/>
                <w:color w:val="000000"/>
                <w:kern w:val="0"/>
              </w:rPr>
              <w:t>研究60%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B6939" w14:textId="77777777" w:rsidR="006E2608" w:rsidRDefault="005A50B4">
            <w:pPr>
              <w:snapToGrid w:val="0"/>
              <w:spacing w:line="280" w:lineRule="exact"/>
              <w:jc w:val="both"/>
              <w:rPr>
                <w:rFonts w:ascii="標楷體" w:eastAsia="標楷體" w:hAnsi="標楷體"/>
                <w:color w:val="000000"/>
                <w:kern w:val="0"/>
              </w:rPr>
            </w:pPr>
            <w:r>
              <w:rPr>
                <w:rFonts w:ascii="標楷體" w:eastAsia="標楷體" w:hAnsi="標楷體"/>
                <w:color w:val="000000"/>
                <w:kern w:val="0"/>
              </w:rPr>
              <w:t>專門著作</w:t>
            </w:r>
          </w:p>
          <w:p w14:paraId="2840A4BF" w14:textId="77777777" w:rsidR="006E2608" w:rsidRDefault="005A50B4">
            <w:pPr>
              <w:snapToGrid w:val="0"/>
              <w:spacing w:line="280" w:lineRule="exact"/>
              <w:jc w:val="both"/>
            </w:pPr>
            <w:r>
              <w:rPr>
                <w:rFonts w:ascii="標楷體" w:eastAsia="標楷體" w:hAnsi="標楷體"/>
                <w:color w:val="000000"/>
                <w:kern w:val="0"/>
              </w:rPr>
              <w:t>(含代表著作與參考著作) 66.7%</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D0296" w14:textId="77777777" w:rsidR="006E2608" w:rsidRDefault="005A50B4">
            <w:pPr>
              <w:snapToGrid w:val="0"/>
              <w:spacing w:line="280" w:lineRule="exact"/>
              <w:jc w:val="both"/>
              <w:rPr>
                <w:rFonts w:ascii="標楷體" w:eastAsia="標楷體" w:hAnsi="標楷體"/>
                <w:color w:val="000000"/>
                <w:kern w:val="0"/>
              </w:rPr>
            </w:pPr>
            <w:r>
              <w:rPr>
                <w:rFonts w:ascii="標楷體" w:eastAsia="標楷體" w:hAnsi="標楷體"/>
                <w:color w:val="000000"/>
                <w:kern w:val="0"/>
              </w:rPr>
              <w:t>專門著作外審分數平均×66.7%×60%=A</w:t>
            </w:r>
          </w:p>
          <w:p w14:paraId="4F590E1B" w14:textId="77777777" w:rsidR="006E2608" w:rsidRDefault="005A50B4">
            <w:pPr>
              <w:snapToGrid w:val="0"/>
              <w:spacing w:line="240" w:lineRule="exact"/>
              <w:jc w:val="both"/>
              <w:rPr>
                <w:rFonts w:ascii="標楷體" w:eastAsia="標楷體" w:hAnsi="標楷體"/>
                <w:color w:val="000000"/>
                <w:kern w:val="0"/>
              </w:rPr>
            </w:pPr>
            <w:r>
              <w:rPr>
                <w:rFonts w:ascii="標楷體" w:eastAsia="標楷體" w:hAnsi="標楷體"/>
                <w:color w:val="000000"/>
                <w:kern w:val="0"/>
              </w:rPr>
              <w:t>(滿分為100分，按比重折算後滿分為40.02分。</w:t>
            </w:r>
            <w:proofErr w:type="gramStart"/>
            <w:r>
              <w:rPr>
                <w:rFonts w:ascii="標楷體" w:eastAsia="標楷體" w:hAnsi="標楷體"/>
                <w:color w:val="000000"/>
                <w:kern w:val="0"/>
              </w:rPr>
              <w:t>本項依本校</w:t>
            </w:r>
            <w:proofErr w:type="gramEnd"/>
            <w:r>
              <w:rPr>
                <w:rFonts w:ascii="標楷體" w:eastAsia="標楷體" w:hAnsi="標楷體"/>
                <w:color w:val="000000"/>
                <w:kern w:val="0"/>
              </w:rPr>
              <w:t>「辦理教師專門著作外審作業注意事項」辦理)</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F04F1" w14:textId="77777777" w:rsidR="006E2608" w:rsidRDefault="005A50B4">
            <w:pPr>
              <w:snapToGrid w:val="0"/>
              <w:spacing w:line="360" w:lineRule="auto"/>
              <w:jc w:val="center"/>
              <w:rPr>
                <w:rFonts w:ascii="標楷體" w:eastAsia="標楷體" w:hAnsi="標楷體"/>
                <w:color w:val="000000"/>
                <w:kern w:val="0"/>
              </w:rPr>
            </w:pPr>
            <w:r>
              <w:rPr>
                <w:rFonts w:ascii="標楷體" w:eastAsia="標楷體" w:hAnsi="標楷體"/>
                <w:color w:val="000000"/>
                <w:kern w:val="0"/>
              </w:rPr>
              <w:t>A＋B</w:t>
            </w:r>
          </w:p>
        </w:tc>
      </w:tr>
      <w:tr w:rsidR="006E2608" w14:paraId="7D3BA601" w14:textId="77777777">
        <w:trPr>
          <w:trHeight w:val="980"/>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6FAA7" w14:textId="77777777" w:rsidR="006E2608" w:rsidRDefault="006E2608">
            <w:pPr>
              <w:snapToGrid w:val="0"/>
              <w:spacing w:line="360" w:lineRule="auto"/>
              <w:ind w:left="-52"/>
              <w:jc w:val="center"/>
              <w:rPr>
                <w:rFonts w:ascii="標楷體" w:eastAsia="標楷體" w:hAnsi="標楷體"/>
                <w:color w:val="000000"/>
                <w:kern w:val="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AAF10" w14:textId="77777777" w:rsidR="006E2608" w:rsidRDefault="005A50B4">
            <w:pPr>
              <w:snapToGrid w:val="0"/>
              <w:spacing w:line="260" w:lineRule="exact"/>
              <w:jc w:val="both"/>
              <w:rPr>
                <w:rFonts w:ascii="標楷體" w:eastAsia="標楷體" w:hAnsi="標楷體"/>
                <w:color w:val="000000"/>
                <w:kern w:val="0"/>
              </w:rPr>
            </w:pPr>
            <w:r>
              <w:rPr>
                <w:rFonts w:ascii="標楷體" w:eastAsia="標楷體" w:hAnsi="標楷體"/>
                <w:color w:val="000000"/>
                <w:kern w:val="0"/>
              </w:rPr>
              <w:t>非屬專門著作之其他研究成果33.3%</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ABCD9" w14:textId="77777777" w:rsidR="006E2608" w:rsidRDefault="005A50B4">
            <w:pPr>
              <w:snapToGrid w:val="0"/>
              <w:spacing w:line="280" w:lineRule="exact"/>
              <w:jc w:val="both"/>
              <w:rPr>
                <w:rFonts w:ascii="標楷體" w:eastAsia="標楷體" w:hAnsi="標楷體"/>
                <w:color w:val="000000"/>
                <w:kern w:val="0"/>
              </w:rPr>
            </w:pPr>
            <w:r>
              <w:rPr>
                <w:rFonts w:ascii="標楷體" w:eastAsia="標楷體" w:hAnsi="標楷體"/>
                <w:color w:val="000000"/>
                <w:kern w:val="0"/>
              </w:rPr>
              <w:t>各委員依本準則評定分數=B</w:t>
            </w:r>
          </w:p>
          <w:p w14:paraId="725BA7F9" w14:textId="77777777" w:rsidR="006E2608" w:rsidRDefault="005A50B4">
            <w:pPr>
              <w:snapToGrid w:val="0"/>
              <w:spacing w:line="280" w:lineRule="exact"/>
              <w:jc w:val="both"/>
            </w:pPr>
            <w:r>
              <w:rPr>
                <w:rFonts w:ascii="標楷體" w:eastAsia="標楷體" w:hAnsi="標楷體"/>
                <w:color w:val="000000"/>
                <w:kern w:val="0"/>
              </w:rPr>
              <w:t>(滿分為19.98分)</w:t>
            </w:r>
          </w:p>
        </w:tc>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7DED0" w14:textId="77777777" w:rsidR="006E2608" w:rsidRDefault="006E2608">
            <w:pPr>
              <w:snapToGrid w:val="0"/>
              <w:spacing w:line="360" w:lineRule="auto"/>
              <w:jc w:val="center"/>
              <w:rPr>
                <w:rFonts w:ascii="標楷體" w:eastAsia="標楷體" w:hAnsi="標楷體"/>
                <w:color w:val="000000"/>
                <w:kern w:val="0"/>
              </w:rPr>
            </w:pPr>
          </w:p>
        </w:tc>
      </w:tr>
      <w:tr w:rsidR="006E2608" w14:paraId="5E978064" w14:textId="77777777">
        <w:trPr>
          <w:trHeight w:val="693"/>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C6966" w14:textId="77777777" w:rsidR="006E2608" w:rsidRDefault="005A50B4">
            <w:pPr>
              <w:snapToGrid w:val="0"/>
              <w:spacing w:line="240" w:lineRule="exact"/>
              <w:ind w:left="-52"/>
              <w:jc w:val="center"/>
              <w:rPr>
                <w:rFonts w:ascii="標楷體" w:eastAsia="標楷體" w:hAnsi="標楷體"/>
                <w:color w:val="000000"/>
                <w:kern w:val="0"/>
              </w:rPr>
            </w:pPr>
            <w:r>
              <w:rPr>
                <w:rFonts w:ascii="標楷體" w:eastAsia="標楷體" w:hAnsi="標楷體"/>
                <w:color w:val="000000"/>
                <w:kern w:val="0"/>
              </w:rPr>
              <w:t>教學30%</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463C5" w14:textId="77777777" w:rsidR="006E2608" w:rsidRDefault="005A50B4">
            <w:pPr>
              <w:snapToGrid w:val="0"/>
              <w:spacing w:line="240" w:lineRule="exact"/>
            </w:pPr>
            <w:r>
              <w:rPr>
                <w:rFonts w:ascii="標楷體" w:eastAsia="標楷體" w:hAnsi="標楷體"/>
                <w:color w:val="000000"/>
                <w:kern w:val="0"/>
              </w:rPr>
              <w:t>依「國立</w:t>
            </w:r>
            <w:proofErr w:type="gramStart"/>
            <w:r>
              <w:rPr>
                <w:rFonts w:ascii="標楷體" w:eastAsia="標楷體" w:hAnsi="標楷體"/>
                <w:color w:val="000000"/>
                <w:kern w:val="0"/>
              </w:rPr>
              <w:t>臺</w:t>
            </w:r>
            <w:proofErr w:type="gramEnd"/>
            <w:r>
              <w:rPr>
                <w:rFonts w:ascii="標楷體" w:eastAsia="標楷體" w:hAnsi="標楷體"/>
                <w:color w:val="000000"/>
                <w:kern w:val="0"/>
              </w:rPr>
              <w:t>北科技大學教師升等教學服務成績審查要點」與校教評會通過之評分項目辦理(總分30分)</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43DD5"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評分範圍：</w:t>
            </w:r>
          </w:p>
          <w:p w14:paraId="27B4CFE0" w14:textId="77777777" w:rsidR="006E2608" w:rsidRDefault="005A50B4">
            <w:pPr>
              <w:snapToGrid w:val="0"/>
              <w:spacing w:line="240" w:lineRule="exact"/>
              <w:jc w:val="center"/>
            </w:pPr>
            <w:r>
              <w:rPr>
                <w:rFonts w:ascii="標楷體" w:eastAsia="標楷體" w:hAnsi="標楷體"/>
                <w:color w:val="000000"/>
                <w:kern w:val="0"/>
              </w:rPr>
              <w:t>12分～30分</w:t>
            </w:r>
          </w:p>
        </w:tc>
      </w:tr>
      <w:tr w:rsidR="006E2608" w14:paraId="48D07E16" w14:textId="77777777">
        <w:trPr>
          <w:trHeight w:val="727"/>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5691F" w14:textId="77777777" w:rsidR="006E2608" w:rsidRDefault="005A50B4">
            <w:pPr>
              <w:snapToGrid w:val="0"/>
              <w:spacing w:line="240" w:lineRule="exact"/>
              <w:ind w:left="-51"/>
              <w:jc w:val="center"/>
              <w:rPr>
                <w:rFonts w:ascii="標楷體" w:eastAsia="標楷體" w:hAnsi="標楷體"/>
                <w:color w:val="000000"/>
                <w:kern w:val="0"/>
              </w:rPr>
            </w:pPr>
            <w:r>
              <w:rPr>
                <w:rFonts w:ascii="標楷體" w:eastAsia="標楷體" w:hAnsi="標楷體"/>
                <w:color w:val="000000"/>
                <w:kern w:val="0"/>
              </w:rPr>
              <w:t>服務10%</w:t>
            </w:r>
          </w:p>
          <w:p w14:paraId="373EC093" w14:textId="77777777" w:rsidR="006E2608" w:rsidRDefault="005A50B4">
            <w:pPr>
              <w:snapToGrid w:val="0"/>
              <w:spacing w:line="240" w:lineRule="exact"/>
              <w:ind w:left="-51"/>
              <w:jc w:val="center"/>
              <w:rPr>
                <w:rFonts w:ascii="標楷體" w:eastAsia="標楷體" w:hAnsi="標楷體"/>
                <w:color w:val="000000"/>
                <w:kern w:val="0"/>
              </w:rPr>
            </w:pPr>
            <w:r>
              <w:rPr>
                <w:rFonts w:ascii="標楷體" w:eastAsia="標楷體" w:hAnsi="標楷體"/>
                <w:color w:val="000000"/>
                <w:kern w:val="0"/>
              </w:rPr>
              <w:t>（含輔導與推廣）</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E9A0B" w14:textId="77777777" w:rsidR="006E2608" w:rsidRDefault="005A50B4">
            <w:pPr>
              <w:snapToGrid w:val="0"/>
              <w:spacing w:line="240" w:lineRule="exact"/>
            </w:pPr>
            <w:r>
              <w:rPr>
                <w:rFonts w:ascii="標楷體" w:eastAsia="標楷體" w:hAnsi="標楷體"/>
                <w:color w:val="000000"/>
                <w:kern w:val="0"/>
              </w:rPr>
              <w:t>依「國立</w:t>
            </w:r>
            <w:proofErr w:type="gramStart"/>
            <w:r>
              <w:rPr>
                <w:rFonts w:ascii="標楷體" w:eastAsia="標楷體" w:hAnsi="標楷體"/>
                <w:color w:val="000000"/>
                <w:kern w:val="0"/>
              </w:rPr>
              <w:t>臺</w:t>
            </w:r>
            <w:proofErr w:type="gramEnd"/>
            <w:r>
              <w:rPr>
                <w:rFonts w:ascii="標楷體" w:eastAsia="標楷體" w:hAnsi="標楷體"/>
                <w:color w:val="000000"/>
                <w:kern w:val="0"/>
              </w:rPr>
              <w:t>北科技大學教師升等教學服務成績審查要點」與校教評會通過之評分項目辦理(總分10分)</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8A59D"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評分範圍：</w:t>
            </w:r>
          </w:p>
          <w:p w14:paraId="27963734" w14:textId="77777777" w:rsidR="006E2608" w:rsidRDefault="005A50B4">
            <w:pPr>
              <w:snapToGrid w:val="0"/>
              <w:spacing w:line="240" w:lineRule="exact"/>
              <w:jc w:val="center"/>
            </w:pPr>
            <w:r>
              <w:rPr>
                <w:rFonts w:ascii="標楷體" w:eastAsia="標楷體" w:hAnsi="標楷體"/>
                <w:color w:val="000000"/>
                <w:kern w:val="0"/>
              </w:rPr>
              <w:t>4分～10分</w:t>
            </w:r>
          </w:p>
        </w:tc>
      </w:tr>
    </w:tbl>
    <w:p w14:paraId="0181F4AD" w14:textId="77777777" w:rsidR="006E2608" w:rsidRDefault="005A50B4">
      <w:pPr>
        <w:pStyle w:val="a7"/>
        <w:numPr>
          <w:ilvl w:val="0"/>
          <w:numId w:val="1"/>
        </w:numPr>
        <w:spacing w:before="120" w:line="400" w:lineRule="exact"/>
        <w:ind w:left="567" w:hanging="567"/>
      </w:pPr>
      <w:bookmarkStart w:id="0" w:name="_Hlk104562556"/>
      <w:r>
        <w:rPr>
          <w:rFonts w:ascii="標楷體" w:eastAsia="標楷體" w:hAnsi="標楷體"/>
          <w:color w:val="000000"/>
          <w:kern w:val="0"/>
          <w:sz w:val="28"/>
          <w:szCs w:val="28"/>
        </w:rPr>
        <w:t>各項非屬專門著作之其他研究成果、教學、服務之</w:t>
      </w:r>
      <w:proofErr w:type="gramStart"/>
      <w:r>
        <w:rPr>
          <w:rFonts w:ascii="標楷體" w:eastAsia="標楷體" w:hAnsi="標楷體"/>
          <w:color w:val="000000"/>
          <w:kern w:val="0"/>
          <w:sz w:val="28"/>
          <w:szCs w:val="28"/>
        </w:rPr>
        <w:t>採</w:t>
      </w:r>
      <w:proofErr w:type="gramEnd"/>
      <w:r>
        <w:rPr>
          <w:rFonts w:ascii="標楷體" w:eastAsia="標楷體" w:hAnsi="標楷體"/>
          <w:color w:val="000000"/>
          <w:kern w:val="0"/>
          <w:sz w:val="28"/>
          <w:szCs w:val="28"/>
        </w:rPr>
        <w:t>計年限，為送審教師前一等級後至向系級申請升等當時</w:t>
      </w:r>
      <w:proofErr w:type="gramStart"/>
      <w:r>
        <w:rPr>
          <w:rFonts w:ascii="標楷體" w:eastAsia="標楷體" w:hAnsi="標楷體"/>
          <w:color w:val="000000"/>
          <w:kern w:val="0"/>
          <w:sz w:val="28"/>
          <w:szCs w:val="28"/>
        </w:rPr>
        <w:t>往前逆算本校</w:t>
      </w:r>
      <w:proofErr w:type="gramEnd"/>
      <w:r>
        <w:rPr>
          <w:rFonts w:ascii="標楷體" w:eastAsia="標楷體" w:hAnsi="標楷體"/>
          <w:color w:val="000000"/>
          <w:kern w:val="0"/>
          <w:sz w:val="28"/>
          <w:szCs w:val="28"/>
        </w:rPr>
        <w:t>現任職級至多七年之相關表現；</w:t>
      </w:r>
      <w:r>
        <w:rPr>
          <w:rFonts w:ascii="標楷體" w:eastAsia="標楷體" w:hAnsi="標楷體"/>
          <w:color w:val="000000"/>
          <w:sz w:val="28"/>
          <w:szCs w:val="28"/>
        </w:rPr>
        <w:t>若送審人曾於前述期限內懷孕或生產者，得申請延長前述年限二年</w:t>
      </w:r>
      <w:r>
        <w:rPr>
          <w:rFonts w:ascii="標楷體" w:eastAsia="標楷體" w:hAnsi="標楷體"/>
          <w:color w:val="000000"/>
          <w:kern w:val="0"/>
          <w:sz w:val="28"/>
          <w:szCs w:val="28"/>
        </w:rPr>
        <w:t>。</w:t>
      </w:r>
      <w:bookmarkEnd w:id="0"/>
    </w:p>
    <w:p w14:paraId="71944CCA"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proofErr w:type="gramStart"/>
      <w:r>
        <w:rPr>
          <w:rFonts w:ascii="標楷體" w:eastAsia="標楷體" w:hAnsi="標楷體"/>
          <w:color w:val="000000"/>
          <w:kern w:val="0"/>
          <w:sz w:val="28"/>
          <w:szCs w:val="28"/>
        </w:rPr>
        <w:t>本院升等</w:t>
      </w:r>
      <w:proofErr w:type="gramEnd"/>
      <w:r>
        <w:rPr>
          <w:rFonts w:ascii="標楷體" w:eastAsia="標楷體" w:hAnsi="標楷體"/>
          <w:color w:val="000000"/>
          <w:kern w:val="0"/>
          <w:sz w:val="28"/>
          <w:szCs w:val="28"/>
        </w:rPr>
        <w:t>教師非屬專門著作、教學、服務之評審項目點數計算標準與計算說明，如下所列：</w:t>
      </w:r>
    </w:p>
    <w:p w14:paraId="6152C736" w14:textId="77777777" w:rsidR="006E2608" w:rsidRDefault="005A50B4">
      <w:pPr>
        <w:pStyle w:val="a7"/>
        <w:numPr>
          <w:ilvl w:val="0"/>
          <w:numId w:val="2"/>
        </w:numPr>
        <w:spacing w:before="120" w:line="400" w:lineRule="exact"/>
        <w:ind w:left="851" w:hanging="851"/>
        <w:rPr>
          <w:rFonts w:ascii="標楷體" w:eastAsia="標楷體" w:hAnsi="標楷體"/>
          <w:color w:val="000000"/>
          <w:kern w:val="0"/>
          <w:sz w:val="28"/>
          <w:szCs w:val="28"/>
        </w:rPr>
      </w:pPr>
      <w:r>
        <w:rPr>
          <w:rFonts w:ascii="標楷體" w:eastAsia="標楷體" w:hAnsi="標楷體"/>
          <w:color w:val="000000"/>
          <w:kern w:val="0"/>
          <w:sz w:val="28"/>
          <w:szCs w:val="28"/>
        </w:rPr>
        <w:t>非屬專門著作之評審項目與點數計算標準：</w:t>
      </w:r>
    </w:p>
    <w:p w14:paraId="3FB1424D" w14:textId="1FDA2B1A" w:rsidR="006E2608" w:rsidRDefault="00BA366E">
      <w:pPr>
        <w:pStyle w:val="a7"/>
        <w:numPr>
          <w:ilvl w:val="3"/>
          <w:numId w:val="1"/>
        </w:numPr>
        <w:spacing w:before="120" w:line="400" w:lineRule="exact"/>
        <w:ind w:left="851" w:hanging="425"/>
        <w:rPr>
          <w:rFonts w:ascii="標楷體" w:eastAsia="標楷體" w:hAnsi="標楷體"/>
          <w:color w:val="000000"/>
          <w:kern w:val="0"/>
          <w:sz w:val="28"/>
          <w:szCs w:val="28"/>
        </w:rPr>
      </w:pPr>
      <w:bookmarkStart w:id="1" w:name="_Hlk97650134"/>
      <w:r w:rsidRPr="00BA366E">
        <w:rPr>
          <w:rFonts w:ascii="標楷體" w:eastAsia="標楷體" w:hAnsi="標楷體" w:hint="eastAsia"/>
          <w:color w:val="FF0000"/>
          <w:kern w:val="0"/>
          <w:sz w:val="28"/>
          <w:szCs w:val="28"/>
          <w:u w:val="single"/>
        </w:rPr>
        <w:lastRenderedPageBreak/>
        <w:t>國家科學及技術委員會（以下簡稱國科會）</w:t>
      </w:r>
      <w:r w:rsidR="005A50B4">
        <w:rPr>
          <w:rFonts w:ascii="標楷體" w:eastAsia="標楷體" w:hAnsi="標楷體"/>
          <w:color w:val="000000"/>
          <w:kern w:val="0"/>
          <w:sz w:val="28"/>
          <w:szCs w:val="28"/>
        </w:rPr>
        <w:t>專題研究(</w:t>
      </w:r>
      <w:proofErr w:type="gramStart"/>
      <w:r w:rsidR="005A50B4">
        <w:rPr>
          <w:rFonts w:ascii="標楷體" w:eastAsia="標楷體" w:hAnsi="標楷體"/>
          <w:color w:val="000000"/>
          <w:kern w:val="0"/>
          <w:sz w:val="28"/>
          <w:szCs w:val="28"/>
        </w:rPr>
        <w:t>含產學</w:t>
      </w:r>
      <w:proofErr w:type="gramEnd"/>
      <w:r w:rsidR="005A50B4">
        <w:rPr>
          <w:rFonts w:ascii="標楷體" w:eastAsia="標楷體" w:hAnsi="標楷體"/>
          <w:color w:val="000000"/>
          <w:kern w:val="0"/>
          <w:sz w:val="28"/>
          <w:szCs w:val="28"/>
        </w:rPr>
        <w:t>合作)計畫件數（多年期計畫按年度計算，每1年度以1件計算，點數以1.2倍計算）：</w:t>
      </w:r>
    </w:p>
    <w:p w14:paraId="0E495C17" w14:textId="77777777" w:rsidR="006E2608" w:rsidRDefault="005A50B4">
      <w:pPr>
        <w:pStyle w:val="a7"/>
        <w:numPr>
          <w:ilvl w:val="1"/>
          <w:numId w:val="2"/>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擔任計畫主持人：每件2點；</w:t>
      </w:r>
    </w:p>
    <w:p w14:paraId="2F5EA936" w14:textId="77777777" w:rsidR="006E2608" w:rsidRDefault="005A50B4">
      <w:pPr>
        <w:pStyle w:val="a7"/>
        <w:numPr>
          <w:ilvl w:val="1"/>
          <w:numId w:val="2"/>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擔任共同主持人：每件1點；</w:t>
      </w:r>
    </w:p>
    <w:p w14:paraId="5D8E41B3" w14:textId="77777777" w:rsidR="006E2608" w:rsidRDefault="005A50B4">
      <w:pPr>
        <w:pStyle w:val="a7"/>
        <w:numPr>
          <w:ilvl w:val="1"/>
          <w:numId w:val="2"/>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擔任協同主持人及研究人員：每件0.6點。</w:t>
      </w:r>
    </w:p>
    <w:p w14:paraId="357B5C00" w14:textId="1F29E00C" w:rsidR="006E2608" w:rsidRDefault="00384A03">
      <w:pPr>
        <w:pStyle w:val="a7"/>
        <w:numPr>
          <w:ilvl w:val="3"/>
          <w:numId w:val="1"/>
        </w:numPr>
        <w:spacing w:before="120" w:line="400" w:lineRule="exact"/>
        <w:ind w:left="851" w:hanging="425"/>
        <w:rPr>
          <w:rFonts w:ascii="標楷體" w:eastAsia="標楷體" w:hAnsi="標楷體"/>
          <w:color w:val="000000"/>
          <w:kern w:val="0"/>
          <w:sz w:val="28"/>
          <w:szCs w:val="28"/>
        </w:rPr>
      </w:pPr>
      <w:r w:rsidRPr="00384A03">
        <w:rPr>
          <w:rFonts w:ascii="標楷體" w:eastAsia="標楷體" w:hAnsi="標楷體" w:hint="eastAsia"/>
          <w:color w:val="FF0000"/>
          <w:kern w:val="0"/>
          <w:sz w:val="28"/>
          <w:szCs w:val="28"/>
          <w:u w:val="single"/>
        </w:rPr>
        <w:t>國科會</w:t>
      </w:r>
      <w:r w:rsidR="005A50B4">
        <w:rPr>
          <w:rFonts w:ascii="標楷體" w:eastAsia="標楷體" w:hAnsi="標楷體"/>
          <w:color w:val="000000"/>
          <w:kern w:val="0"/>
          <w:sz w:val="28"/>
          <w:szCs w:val="28"/>
        </w:rPr>
        <w:t>專題研究(</w:t>
      </w:r>
      <w:proofErr w:type="gramStart"/>
      <w:r w:rsidR="005A50B4">
        <w:rPr>
          <w:rFonts w:ascii="標楷體" w:eastAsia="標楷體" w:hAnsi="標楷體"/>
          <w:color w:val="000000"/>
          <w:kern w:val="0"/>
          <w:sz w:val="28"/>
          <w:szCs w:val="28"/>
        </w:rPr>
        <w:t>含產學</w:t>
      </w:r>
      <w:proofErr w:type="gramEnd"/>
      <w:r w:rsidR="005A50B4">
        <w:rPr>
          <w:rFonts w:ascii="標楷體" w:eastAsia="標楷體" w:hAnsi="標楷體"/>
          <w:color w:val="000000"/>
          <w:kern w:val="0"/>
          <w:sz w:val="28"/>
          <w:szCs w:val="28"/>
        </w:rPr>
        <w:t>合作)計畫金額：</w:t>
      </w:r>
    </w:p>
    <w:p w14:paraId="58853C06" w14:textId="77777777" w:rsidR="006E2608" w:rsidRDefault="005A50B4">
      <w:pPr>
        <w:pStyle w:val="a7"/>
        <w:numPr>
          <w:ilvl w:val="0"/>
          <w:numId w:val="3"/>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擔任計畫主持人，其當年度研究計畫金額每10萬元0.1點；</w:t>
      </w:r>
    </w:p>
    <w:p w14:paraId="0A5C8BB9" w14:textId="77777777" w:rsidR="006E2608" w:rsidRDefault="005A50B4">
      <w:pPr>
        <w:pStyle w:val="a7"/>
        <w:numPr>
          <w:ilvl w:val="0"/>
          <w:numId w:val="3"/>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擔任共同主持人，其當年度研究計畫金額每20萬元0.1點；</w:t>
      </w:r>
    </w:p>
    <w:p w14:paraId="1B68EE02" w14:textId="77777777" w:rsidR="006E2608" w:rsidRDefault="005A50B4">
      <w:pPr>
        <w:pStyle w:val="a7"/>
        <w:numPr>
          <w:ilvl w:val="0"/>
          <w:numId w:val="3"/>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擔任協同主持人及研究人員，其當年度研究計畫金額每30萬元0.1點。</w:t>
      </w:r>
    </w:p>
    <w:p w14:paraId="237F863D" w14:textId="198D1D79"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非屬</w:t>
      </w:r>
      <w:r w:rsidR="00384A03" w:rsidRPr="00384A03">
        <w:rPr>
          <w:rFonts w:ascii="標楷體" w:eastAsia="標楷體" w:hAnsi="標楷體" w:hint="eastAsia"/>
          <w:color w:val="FF0000"/>
          <w:kern w:val="0"/>
          <w:sz w:val="28"/>
          <w:szCs w:val="28"/>
          <w:u w:val="single"/>
        </w:rPr>
        <w:t>國科會</w:t>
      </w:r>
      <w:r>
        <w:rPr>
          <w:rFonts w:ascii="標楷體" w:eastAsia="標楷體" w:hAnsi="標楷體"/>
          <w:color w:val="000000"/>
          <w:kern w:val="0"/>
          <w:sz w:val="28"/>
          <w:szCs w:val="28"/>
        </w:rPr>
        <w:t>之研究計畫及企業產學合作案（非</w:t>
      </w:r>
      <w:r w:rsidR="00384A03" w:rsidRPr="00384A03">
        <w:rPr>
          <w:rFonts w:ascii="標楷體" w:eastAsia="標楷體" w:hAnsi="標楷體" w:hint="eastAsia"/>
          <w:color w:val="FF0000"/>
          <w:kern w:val="0"/>
          <w:sz w:val="28"/>
          <w:szCs w:val="28"/>
          <w:u w:val="single"/>
        </w:rPr>
        <w:t>國科會</w:t>
      </w:r>
      <w:r>
        <w:rPr>
          <w:rFonts w:ascii="標楷體" w:eastAsia="標楷體" w:hAnsi="標楷體"/>
          <w:color w:val="000000"/>
          <w:kern w:val="0"/>
          <w:sz w:val="28"/>
          <w:szCs w:val="28"/>
        </w:rPr>
        <w:t>計畫且編列符合本校規定</w:t>
      </w:r>
      <w:proofErr w:type="gramStart"/>
      <w:r>
        <w:rPr>
          <w:rFonts w:ascii="標楷體" w:eastAsia="標楷體" w:hAnsi="標楷體"/>
          <w:color w:val="000000"/>
          <w:kern w:val="0"/>
          <w:sz w:val="28"/>
          <w:szCs w:val="28"/>
        </w:rPr>
        <w:t>提撥</w:t>
      </w:r>
      <w:proofErr w:type="gramEnd"/>
      <w:r>
        <w:rPr>
          <w:rFonts w:ascii="標楷體" w:eastAsia="標楷體" w:hAnsi="標楷體"/>
          <w:color w:val="000000"/>
          <w:kern w:val="0"/>
          <w:sz w:val="28"/>
          <w:szCs w:val="28"/>
        </w:rPr>
        <w:t>之管理費）：</w:t>
      </w:r>
    </w:p>
    <w:p w14:paraId="6E4D9EE2" w14:textId="77777777" w:rsidR="006E2608" w:rsidRDefault="005A50B4">
      <w:pPr>
        <w:pStyle w:val="a7"/>
        <w:numPr>
          <w:ilvl w:val="0"/>
          <w:numId w:val="4"/>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擔任計畫主持人，總經費由本校可查得之分配金額，每10萬元0.3點；</w:t>
      </w:r>
    </w:p>
    <w:p w14:paraId="32D5444E" w14:textId="77777777" w:rsidR="006E2608" w:rsidRDefault="005A50B4">
      <w:pPr>
        <w:pStyle w:val="a7"/>
        <w:numPr>
          <w:ilvl w:val="0"/>
          <w:numId w:val="4"/>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擔任共同主持人，總經費由本校可查得之分配金額，每10萬元0.2點；</w:t>
      </w:r>
    </w:p>
    <w:p w14:paraId="3AAA3615" w14:textId="77777777" w:rsidR="006E2608" w:rsidRDefault="005A50B4">
      <w:pPr>
        <w:pStyle w:val="a7"/>
        <w:numPr>
          <w:ilvl w:val="0"/>
          <w:numId w:val="4"/>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擔任協同主持人及研究人員，總經費由本校可查得之分配金額，每10萬元0.1點。</w:t>
      </w:r>
    </w:p>
    <w:p w14:paraId="2EE9A3FD"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以本校名義獲發明專利，歐、美、日等國每件2點，我國每件1點。同一件專利在不同國家申請，僅</w:t>
      </w:r>
      <w:proofErr w:type="gramStart"/>
      <w:r>
        <w:rPr>
          <w:rFonts w:ascii="標楷體" w:eastAsia="標楷體" w:hAnsi="標楷體"/>
          <w:color w:val="000000"/>
          <w:kern w:val="0"/>
          <w:sz w:val="28"/>
          <w:szCs w:val="28"/>
        </w:rPr>
        <w:t>採</w:t>
      </w:r>
      <w:proofErr w:type="gramEnd"/>
      <w:r>
        <w:rPr>
          <w:rFonts w:ascii="標楷體" w:eastAsia="標楷體" w:hAnsi="標楷體"/>
          <w:color w:val="000000"/>
          <w:kern w:val="0"/>
          <w:sz w:val="28"/>
          <w:szCs w:val="28"/>
        </w:rPr>
        <w:t>計一次。</w:t>
      </w:r>
    </w:p>
    <w:p w14:paraId="5444EB03"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技術移轉金額每10萬元2點，不足10萬元1點。</w:t>
      </w:r>
    </w:p>
    <w:p w14:paraId="72F8C494"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學術榮譽：本項最高5點。</w:t>
      </w:r>
    </w:p>
    <w:p w14:paraId="4C9A5096" w14:textId="77777777" w:rsidR="006E2608" w:rsidRDefault="005A50B4">
      <w:pPr>
        <w:pStyle w:val="a7"/>
        <w:numPr>
          <w:ilvl w:val="0"/>
          <w:numId w:val="5"/>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政府頒發傑出研究或產學合作獎，最高5點。</w:t>
      </w:r>
    </w:p>
    <w:p w14:paraId="571256D8" w14:textId="77777777" w:rsidR="006E2608" w:rsidRDefault="005A50B4">
      <w:pPr>
        <w:pStyle w:val="a7"/>
        <w:numPr>
          <w:ilvl w:val="0"/>
          <w:numId w:val="5"/>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本校頒發傑出研究或產學合作獎，每次3點。</w:t>
      </w:r>
    </w:p>
    <w:p w14:paraId="759A79D4" w14:textId="77777777" w:rsidR="006E2608" w:rsidRDefault="005A50B4">
      <w:pPr>
        <w:pStyle w:val="a7"/>
        <w:numPr>
          <w:ilvl w:val="0"/>
          <w:numId w:val="5"/>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本院頒發傑出研究或產學合作獎，每次1點。</w:t>
      </w:r>
    </w:p>
    <w:p w14:paraId="4240A04B"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執行或承辦國內或國際學術性研討會，擔任大會主席、議程主席或其它分項主席：本項最高3點。</w:t>
      </w:r>
    </w:p>
    <w:p w14:paraId="445234D6" w14:textId="77777777" w:rsidR="006E2608" w:rsidRDefault="005A50B4">
      <w:pPr>
        <w:pStyle w:val="a7"/>
        <w:numPr>
          <w:ilvl w:val="0"/>
          <w:numId w:val="6"/>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國際學術性研討會，每次1點。</w:t>
      </w:r>
    </w:p>
    <w:p w14:paraId="20C1DC8C" w14:textId="77777777" w:rsidR="006E2608" w:rsidRDefault="005A50B4">
      <w:pPr>
        <w:pStyle w:val="a7"/>
        <w:numPr>
          <w:ilvl w:val="0"/>
          <w:numId w:val="6"/>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國內學術性研討會，每次0.5點。</w:t>
      </w:r>
    </w:p>
    <w:p w14:paraId="4836A26D"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專業期刊編輯：本項最高3點。</w:t>
      </w:r>
    </w:p>
    <w:p w14:paraId="730218F2" w14:textId="77777777" w:rsidR="006E2608" w:rsidRDefault="005A50B4">
      <w:pPr>
        <w:pStyle w:val="a7"/>
        <w:numPr>
          <w:ilvl w:val="0"/>
          <w:numId w:val="7"/>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SCI、EI期刊主編、總編輯每年3點，副主編、編輯或副編輯每年2點。</w:t>
      </w:r>
    </w:p>
    <w:p w14:paraId="3283E497" w14:textId="77777777" w:rsidR="006E2608" w:rsidRDefault="005A50B4">
      <w:pPr>
        <w:pStyle w:val="a7"/>
        <w:numPr>
          <w:ilvl w:val="0"/>
          <w:numId w:val="7"/>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國際期刊(非SCI、EI期刊) 主編、總編輯每年2.5點，副主編、編輯或副編輯每年1點。</w:t>
      </w:r>
    </w:p>
    <w:p w14:paraId="08E54542" w14:textId="77777777" w:rsidR="006E2608" w:rsidRDefault="005A50B4">
      <w:pPr>
        <w:pStyle w:val="a7"/>
        <w:numPr>
          <w:ilvl w:val="0"/>
          <w:numId w:val="7"/>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國內期刊主編、總編輯每年0.2點，副主編、編輯或副編輯每年0.1點。</w:t>
      </w:r>
    </w:p>
    <w:p w14:paraId="5E9EA4A1"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主導企業設備捐贈或產學研發聯盟，總捐贈金額每100萬元1點，未滿100萬元依比例計算；本項最高3點。</w:t>
      </w:r>
    </w:p>
    <w:p w14:paraId="071EA269" w14:textId="77777777" w:rsidR="006E2608" w:rsidRDefault="005A50B4">
      <w:pPr>
        <w:pStyle w:val="a7"/>
        <w:numPr>
          <w:ilvl w:val="3"/>
          <w:numId w:val="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其他</w:t>
      </w:r>
    </w:p>
    <w:p w14:paraId="3D495B87" w14:textId="77777777" w:rsidR="006E2608" w:rsidRDefault="005A50B4">
      <w:pPr>
        <w:pStyle w:val="a7"/>
        <w:numPr>
          <w:ilvl w:val="0"/>
          <w:numId w:val="8"/>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參與學術競賽、配合學校政策執行計畫或其他重要事蹟有顯著成效者，由系教評會就所提供資料評定成績。</w:t>
      </w:r>
    </w:p>
    <w:p w14:paraId="42492B86" w14:textId="77777777" w:rsidR="006E2608" w:rsidRDefault="005A50B4">
      <w:pPr>
        <w:pStyle w:val="a7"/>
        <w:numPr>
          <w:ilvl w:val="0"/>
          <w:numId w:val="8"/>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本項最高3點。</w:t>
      </w:r>
    </w:p>
    <w:bookmarkEnd w:id="1"/>
    <w:p w14:paraId="0C179996" w14:textId="77777777" w:rsidR="006E2608" w:rsidRDefault="005A50B4">
      <w:pPr>
        <w:pStyle w:val="a7"/>
        <w:numPr>
          <w:ilvl w:val="0"/>
          <w:numId w:val="2"/>
        </w:numPr>
        <w:spacing w:before="120" w:line="400" w:lineRule="exact"/>
        <w:ind w:left="851" w:hanging="851"/>
        <w:rPr>
          <w:rFonts w:ascii="標楷體" w:eastAsia="標楷體" w:hAnsi="標楷體"/>
          <w:color w:val="000000"/>
          <w:kern w:val="0"/>
          <w:sz w:val="28"/>
          <w:szCs w:val="28"/>
        </w:rPr>
      </w:pPr>
      <w:r>
        <w:rPr>
          <w:rFonts w:ascii="標楷體" w:eastAsia="標楷體" w:hAnsi="標楷體"/>
          <w:color w:val="000000"/>
          <w:kern w:val="0"/>
          <w:sz w:val="28"/>
          <w:szCs w:val="28"/>
        </w:rPr>
        <w:t>非屬專門著作之總點數評分級距與評分範圍：所獲總點數與評分範圍如下，院教評會委員依相應範圍加以評定分數。</w:t>
      </w:r>
    </w:p>
    <w:tbl>
      <w:tblPr>
        <w:tblW w:w="8279" w:type="dxa"/>
        <w:tblInd w:w="846" w:type="dxa"/>
        <w:tblCellMar>
          <w:left w:w="10" w:type="dxa"/>
          <w:right w:w="10" w:type="dxa"/>
        </w:tblCellMar>
        <w:tblLook w:val="04A0" w:firstRow="1" w:lastRow="0" w:firstColumn="1" w:lastColumn="0" w:noHBand="0" w:noVBand="1"/>
      </w:tblPr>
      <w:tblGrid>
        <w:gridCol w:w="2713"/>
        <w:gridCol w:w="2739"/>
        <w:gridCol w:w="2827"/>
      </w:tblGrid>
      <w:tr w:rsidR="006E2608" w14:paraId="0FC6D928" w14:textId="77777777">
        <w:trPr>
          <w:trHeight w:val="436"/>
        </w:trPr>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C42C"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升等副教授</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73B2"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升等教授</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057D8"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評分方式</w:t>
            </w:r>
          </w:p>
        </w:tc>
      </w:tr>
      <w:tr w:rsidR="006E2608" w14:paraId="02598A2F" w14:textId="77777777">
        <w:trPr>
          <w:trHeight w:val="436"/>
        </w:trPr>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5855B"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總點數18.1點以上</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9EC3E"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總點數25.1點以上</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8EDD9"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予以17.1～19.98之評分</w:t>
            </w:r>
          </w:p>
        </w:tc>
      </w:tr>
      <w:tr w:rsidR="006E2608" w14:paraId="5EA77A8F" w14:textId="77777777">
        <w:trPr>
          <w:trHeight w:val="426"/>
        </w:trPr>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6D337"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總點數12.1～18.0點</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1A9EB"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總點數15.1～25.0點</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6B0C"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予以13.1～17.0之評分</w:t>
            </w:r>
          </w:p>
        </w:tc>
      </w:tr>
      <w:tr w:rsidR="006E2608" w14:paraId="28581BF0" w14:textId="77777777">
        <w:trPr>
          <w:trHeight w:val="436"/>
        </w:trPr>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59990"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總點數7.0～12.0點</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10C72"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總點數10.0～15.0點</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730CD" w14:textId="77777777" w:rsidR="006E2608" w:rsidRDefault="005A50B4">
            <w:pPr>
              <w:snapToGrid w:val="0"/>
              <w:spacing w:line="240" w:lineRule="exact"/>
              <w:jc w:val="center"/>
              <w:rPr>
                <w:rFonts w:ascii="標楷體" w:eastAsia="標楷體" w:hAnsi="標楷體"/>
                <w:color w:val="000000"/>
                <w:kern w:val="0"/>
              </w:rPr>
            </w:pPr>
            <w:r>
              <w:rPr>
                <w:rFonts w:ascii="標楷體" w:eastAsia="標楷體" w:hAnsi="標楷體"/>
                <w:color w:val="000000"/>
                <w:kern w:val="0"/>
              </w:rPr>
              <w:t>予以10.1～13.0之評分</w:t>
            </w:r>
          </w:p>
        </w:tc>
      </w:tr>
    </w:tbl>
    <w:p w14:paraId="57349C81" w14:textId="77777777" w:rsidR="006E2608" w:rsidRDefault="005A50B4">
      <w:pPr>
        <w:pStyle w:val="a7"/>
        <w:numPr>
          <w:ilvl w:val="3"/>
          <w:numId w:val="9"/>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經核算點數後，若教評委員未評分或評分低於最低之對應評分，以對應評分之最低分計算；若評分高於最高之對應評分，以對應評分之最高分計算。</w:t>
      </w:r>
    </w:p>
    <w:p w14:paraId="1864E44C" w14:textId="77777777" w:rsidR="006E2608" w:rsidRDefault="005A50B4">
      <w:pPr>
        <w:pStyle w:val="a7"/>
        <w:numPr>
          <w:ilvl w:val="3"/>
          <w:numId w:val="9"/>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評分項目所舉具體事實，除教學年資外，</w:t>
      </w:r>
      <w:proofErr w:type="gramStart"/>
      <w:r>
        <w:rPr>
          <w:rFonts w:ascii="標楷體" w:eastAsia="標楷體" w:hAnsi="標楷體"/>
          <w:color w:val="000000"/>
          <w:kern w:val="0"/>
          <w:sz w:val="28"/>
          <w:szCs w:val="28"/>
        </w:rPr>
        <w:t>餘均以在</w:t>
      </w:r>
      <w:proofErr w:type="gramEnd"/>
      <w:r>
        <w:rPr>
          <w:rFonts w:ascii="標楷體" w:eastAsia="標楷體" w:hAnsi="標楷體"/>
          <w:color w:val="000000"/>
          <w:kern w:val="0"/>
          <w:sz w:val="28"/>
          <w:szCs w:val="28"/>
        </w:rPr>
        <w:t>本校現任職務年資期間之事實為限。各項評分</w:t>
      </w:r>
      <w:proofErr w:type="gramStart"/>
      <w:r>
        <w:rPr>
          <w:rFonts w:ascii="標楷體" w:eastAsia="標楷體" w:hAnsi="標楷體"/>
          <w:color w:val="000000"/>
          <w:kern w:val="0"/>
          <w:sz w:val="28"/>
          <w:szCs w:val="28"/>
        </w:rPr>
        <w:t>內容均須提</w:t>
      </w:r>
      <w:proofErr w:type="gramEnd"/>
      <w:r>
        <w:rPr>
          <w:rFonts w:ascii="標楷體" w:eastAsia="標楷體" w:hAnsi="標楷體"/>
          <w:color w:val="000000"/>
          <w:kern w:val="0"/>
          <w:sz w:val="28"/>
          <w:szCs w:val="28"/>
        </w:rPr>
        <w:t>具體事實或佐證資料，無佐證資料者得不予計分。</w:t>
      </w:r>
    </w:p>
    <w:p w14:paraId="7196EC82" w14:textId="77777777" w:rsidR="006E2608" w:rsidRDefault="005A50B4">
      <w:pPr>
        <w:pStyle w:val="a7"/>
        <w:numPr>
          <w:ilvl w:val="0"/>
          <w:numId w:val="2"/>
        </w:numPr>
        <w:spacing w:before="120" w:line="400" w:lineRule="exact"/>
        <w:ind w:left="851" w:hanging="851"/>
        <w:rPr>
          <w:rFonts w:ascii="標楷體" w:eastAsia="標楷體" w:hAnsi="標楷體"/>
          <w:color w:val="000000"/>
          <w:kern w:val="0"/>
          <w:sz w:val="28"/>
          <w:szCs w:val="28"/>
        </w:rPr>
      </w:pPr>
      <w:r>
        <w:rPr>
          <w:rFonts w:ascii="標楷體" w:eastAsia="標楷體" w:hAnsi="標楷體"/>
          <w:color w:val="000000"/>
          <w:kern w:val="0"/>
          <w:sz w:val="28"/>
          <w:szCs w:val="28"/>
        </w:rPr>
        <w:t xml:space="preserve">本院各級專任教師提出升等申請時，需符合最低點數要求，始有申請辦理外審之資格。其非屬專門著作之其他研究成果總點數最低門檻如下， </w:t>
      </w:r>
    </w:p>
    <w:p w14:paraId="45FC1A35" w14:textId="77777777" w:rsidR="006E2608" w:rsidRDefault="005A50B4">
      <w:pPr>
        <w:pStyle w:val="a7"/>
        <w:numPr>
          <w:ilvl w:val="3"/>
          <w:numId w:val="10"/>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升等副教授者至少需達7點</w:t>
      </w:r>
    </w:p>
    <w:p w14:paraId="73863B24" w14:textId="77777777" w:rsidR="006E2608" w:rsidRDefault="005A50B4">
      <w:pPr>
        <w:pStyle w:val="a7"/>
        <w:numPr>
          <w:ilvl w:val="3"/>
          <w:numId w:val="10"/>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升等教授者至少需達10點</w:t>
      </w:r>
    </w:p>
    <w:p w14:paraId="7F97D6C0" w14:textId="77777777" w:rsidR="006E2608" w:rsidRDefault="005A50B4">
      <w:pPr>
        <w:pStyle w:val="a7"/>
        <w:numPr>
          <w:ilvl w:val="0"/>
          <w:numId w:val="2"/>
        </w:numPr>
        <w:spacing w:before="120" w:line="400" w:lineRule="exact"/>
        <w:ind w:left="851" w:hanging="851"/>
        <w:rPr>
          <w:rFonts w:ascii="標楷體" w:eastAsia="標楷體" w:hAnsi="標楷體"/>
          <w:color w:val="000000"/>
          <w:kern w:val="0"/>
          <w:sz w:val="28"/>
          <w:szCs w:val="28"/>
        </w:rPr>
      </w:pPr>
      <w:r>
        <w:rPr>
          <w:rFonts w:ascii="標楷體" w:eastAsia="標楷體" w:hAnsi="標楷體"/>
          <w:color w:val="000000"/>
          <w:kern w:val="0"/>
          <w:sz w:val="28"/>
          <w:szCs w:val="28"/>
        </w:rPr>
        <w:t>本院教師教學、服務（含輔導與推廣）成績由院教評會委員評分，依本校「教師升等教學服務成績審查要點」規定辦理。審查項目評審內容如下：</w:t>
      </w:r>
    </w:p>
    <w:p w14:paraId="7F167B8F" w14:textId="77777777" w:rsidR="006E2608" w:rsidRDefault="005A50B4">
      <w:pPr>
        <w:pStyle w:val="a7"/>
        <w:numPr>
          <w:ilvl w:val="3"/>
          <w:numId w:val="1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教學項目之審查分項包括教學實施、教材教具、精進教學、教學榮譽及其他與提昇教學績效相關重要貢獻等。</w:t>
      </w:r>
    </w:p>
    <w:p w14:paraId="1C8F07E0" w14:textId="77777777" w:rsidR="006E2608" w:rsidRDefault="005A50B4">
      <w:pPr>
        <w:pStyle w:val="a7"/>
        <w:numPr>
          <w:ilvl w:val="3"/>
          <w:numId w:val="1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服務(含輔導與推廣)項目之審查分項包括校內各項委員、校內教學服務、校內行政服務、校外專業及推廣服務及其他重要或重大服務(含輔導與推廣)貢獻等。</w:t>
      </w:r>
    </w:p>
    <w:p w14:paraId="362DD7A5" w14:textId="77777777" w:rsidR="006E2608" w:rsidRDefault="005A50B4">
      <w:pPr>
        <w:pStyle w:val="a7"/>
        <w:numPr>
          <w:ilvl w:val="3"/>
          <w:numId w:val="11"/>
        </w:numPr>
        <w:spacing w:before="120" w:line="400" w:lineRule="exact"/>
        <w:ind w:left="851" w:hanging="425"/>
        <w:rPr>
          <w:rFonts w:ascii="標楷體" w:eastAsia="標楷體" w:hAnsi="標楷體"/>
          <w:color w:val="000000"/>
          <w:kern w:val="0"/>
          <w:sz w:val="28"/>
          <w:szCs w:val="28"/>
        </w:rPr>
      </w:pPr>
      <w:r>
        <w:rPr>
          <w:rFonts w:ascii="標楷體" w:eastAsia="標楷體" w:hAnsi="標楷體"/>
          <w:color w:val="000000"/>
          <w:kern w:val="0"/>
          <w:sz w:val="28"/>
          <w:szCs w:val="28"/>
        </w:rPr>
        <w:t>院教評會評審送審教師教學、服務(含輔導與推廣)成績之審查指標及評分方式與校教師評審委員會一致。</w:t>
      </w:r>
    </w:p>
    <w:p w14:paraId="17B6A26C"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r>
        <w:rPr>
          <w:rFonts w:ascii="標楷體" w:eastAsia="標楷體" w:hAnsi="標楷體"/>
          <w:color w:val="000000"/>
          <w:kern w:val="0"/>
          <w:sz w:val="28"/>
          <w:szCs w:val="28"/>
        </w:rPr>
        <w:t>本準則未盡事宜，依教育部與本校教師升等相關法規之規定辦理。</w:t>
      </w:r>
    </w:p>
    <w:p w14:paraId="5481B5AA" w14:textId="77777777" w:rsidR="006E2608" w:rsidRDefault="005A50B4">
      <w:pPr>
        <w:pStyle w:val="a7"/>
        <w:numPr>
          <w:ilvl w:val="0"/>
          <w:numId w:val="1"/>
        </w:numPr>
        <w:spacing w:before="120" w:line="400" w:lineRule="exact"/>
        <w:ind w:left="567" w:hanging="567"/>
        <w:rPr>
          <w:rFonts w:ascii="標楷體" w:eastAsia="標楷體" w:hAnsi="標楷體"/>
          <w:color w:val="000000"/>
          <w:kern w:val="0"/>
          <w:sz w:val="28"/>
          <w:szCs w:val="28"/>
        </w:rPr>
      </w:pPr>
      <w:r>
        <w:rPr>
          <w:rFonts w:ascii="標楷體" w:eastAsia="標楷體" w:hAnsi="標楷體"/>
          <w:color w:val="000000"/>
          <w:kern w:val="0"/>
          <w:sz w:val="28"/>
          <w:szCs w:val="28"/>
        </w:rPr>
        <w:t>本準則經院、校教評會通過，報請校長核定後實施，修訂時亦同。</w:t>
      </w:r>
    </w:p>
    <w:p w14:paraId="0F232FF3" w14:textId="77777777" w:rsidR="006E2608" w:rsidRDefault="005A50B4">
      <w:pPr>
        <w:pageBreakBefore/>
        <w:snapToGrid w:val="0"/>
        <w:spacing w:line="360" w:lineRule="auto"/>
        <w:ind w:left="1486" w:hanging="1628"/>
        <w:rPr>
          <w:rFonts w:ascii="標楷體" w:eastAsia="標楷體" w:hAnsi="標楷體"/>
          <w:b/>
          <w:color w:val="000000"/>
          <w:sz w:val="28"/>
          <w:szCs w:val="28"/>
        </w:rPr>
      </w:pPr>
      <w:r>
        <w:rPr>
          <w:rFonts w:ascii="標楷體" w:eastAsia="標楷體" w:hAnsi="標楷體"/>
          <w:b/>
          <w:color w:val="000000"/>
          <w:sz w:val="28"/>
          <w:szCs w:val="28"/>
        </w:rPr>
        <w:lastRenderedPageBreak/>
        <w:t>國立</w:t>
      </w: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北科技大學電資學院辦理教師升等非屬專門著作之其他研究成果</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核算表</w:t>
      </w:r>
    </w:p>
    <w:tbl>
      <w:tblPr>
        <w:tblW w:w="9296" w:type="dxa"/>
        <w:jc w:val="center"/>
        <w:tblCellMar>
          <w:left w:w="10" w:type="dxa"/>
          <w:right w:w="10" w:type="dxa"/>
        </w:tblCellMar>
        <w:tblLook w:val="04A0" w:firstRow="1" w:lastRow="0" w:firstColumn="1" w:lastColumn="0" w:noHBand="0" w:noVBand="1"/>
      </w:tblPr>
      <w:tblGrid>
        <w:gridCol w:w="788"/>
        <w:gridCol w:w="2025"/>
        <w:gridCol w:w="3419"/>
        <w:gridCol w:w="1559"/>
        <w:gridCol w:w="1505"/>
      </w:tblGrid>
      <w:tr w:rsidR="006E2608" w14:paraId="792074DA" w14:textId="77777777">
        <w:trP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3340D" w14:textId="77777777" w:rsidR="006E2608" w:rsidRDefault="005A50B4">
            <w:pPr>
              <w:jc w:val="center"/>
              <w:rPr>
                <w:rFonts w:ascii="標楷體" w:eastAsia="標楷體" w:hAnsi="標楷體"/>
                <w:color w:val="000000"/>
              </w:rPr>
            </w:pPr>
            <w:r>
              <w:rPr>
                <w:rFonts w:ascii="標楷體" w:eastAsia="標楷體" w:hAnsi="標楷體"/>
                <w:color w:val="000000"/>
              </w:rPr>
              <w:t>項目</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A819" w14:textId="77777777" w:rsidR="006E2608" w:rsidRDefault="005A50B4">
            <w:pPr>
              <w:jc w:val="center"/>
              <w:rPr>
                <w:rFonts w:ascii="標楷體" w:eastAsia="標楷體" w:hAnsi="標楷體"/>
                <w:color w:val="000000"/>
              </w:rPr>
            </w:pPr>
            <w:r>
              <w:rPr>
                <w:rFonts w:ascii="標楷體" w:eastAsia="標楷體" w:hAnsi="標楷體"/>
                <w:color w:val="000000"/>
              </w:rPr>
              <w:t>類別</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D8499" w14:textId="77777777" w:rsidR="006E2608" w:rsidRDefault="005A50B4">
            <w:pPr>
              <w:jc w:val="center"/>
              <w:rPr>
                <w:rFonts w:ascii="標楷體" w:eastAsia="標楷體" w:hAnsi="標楷體"/>
                <w:color w:val="000000"/>
              </w:rPr>
            </w:pPr>
            <w:r>
              <w:rPr>
                <w:rFonts w:ascii="標楷體" w:eastAsia="標楷體" w:hAnsi="標楷體"/>
                <w:color w:val="000000"/>
              </w:rPr>
              <w:t>量化原則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4C04B" w14:textId="77777777" w:rsidR="006E2608" w:rsidRDefault="005A50B4">
            <w:pPr>
              <w:jc w:val="center"/>
              <w:rPr>
                <w:rFonts w:ascii="標楷體" w:eastAsia="標楷體" w:hAnsi="標楷體"/>
                <w:color w:val="000000"/>
              </w:rPr>
            </w:pPr>
            <w:r>
              <w:rPr>
                <w:rFonts w:ascii="標楷體" w:eastAsia="標楷體" w:hAnsi="標楷體"/>
                <w:color w:val="000000"/>
              </w:rPr>
              <w:t>申請人</w:t>
            </w:r>
          </w:p>
          <w:p w14:paraId="36C1C780" w14:textId="77777777" w:rsidR="006E2608" w:rsidRDefault="005A50B4">
            <w:pPr>
              <w:jc w:val="center"/>
              <w:rPr>
                <w:rFonts w:ascii="標楷體" w:eastAsia="標楷體" w:hAnsi="標楷體"/>
                <w:color w:val="000000"/>
              </w:rPr>
            </w:pPr>
            <w:r>
              <w:rPr>
                <w:rFonts w:ascii="標楷體" w:eastAsia="標楷體" w:hAnsi="標楷體"/>
                <w:color w:val="000000"/>
              </w:rPr>
              <w:t>自評</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F5390" w14:textId="77777777" w:rsidR="006E2608" w:rsidRDefault="005A50B4">
            <w:pPr>
              <w:jc w:val="center"/>
              <w:rPr>
                <w:rFonts w:ascii="標楷體" w:eastAsia="標楷體" w:hAnsi="標楷體"/>
                <w:color w:val="000000"/>
              </w:rPr>
            </w:pPr>
            <w:r>
              <w:rPr>
                <w:rFonts w:ascii="標楷體" w:eastAsia="標楷體" w:hAnsi="標楷體"/>
                <w:color w:val="000000"/>
              </w:rPr>
              <w:t>系(所)</w:t>
            </w:r>
          </w:p>
          <w:p w14:paraId="3E05A1E4" w14:textId="77777777" w:rsidR="006E2608" w:rsidRDefault="005A50B4">
            <w:pPr>
              <w:jc w:val="center"/>
              <w:rPr>
                <w:rFonts w:ascii="標楷體" w:eastAsia="標楷體" w:hAnsi="標楷體"/>
                <w:color w:val="000000"/>
              </w:rPr>
            </w:pPr>
            <w:r>
              <w:rPr>
                <w:rFonts w:ascii="標楷體" w:eastAsia="標楷體" w:hAnsi="標楷體"/>
                <w:color w:val="000000"/>
              </w:rPr>
              <w:t>教評會評量</w:t>
            </w:r>
          </w:p>
        </w:tc>
      </w:tr>
      <w:tr w:rsidR="006E2608" w14:paraId="5B597D40" w14:textId="77777777">
        <w:trPr>
          <w:trHeight w:val="951"/>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FC4E8" w14:textId="77777777" w:rsidR="006E2608" w:rsidRDefault="005A50B4">
            <w:pPr>
              <w:jc w:val="center"/>
              <w:rPr>
                <w:rFonts w:ascii="標楷體" w:eastAsia="標楷體" w:hAnsi="標楷體"/>
                <w:color w:val="000000"/>
              </w:rPr>
            </w:pPr>
            <w:proofErr w:type="gramStart"/>
            <w:r>
              <w:rPr>
                <w:rFonts w:ascii="標楷體" w:eastAsia="標楷體" w:hAnsi="標楷體"/>
                <w:color w:val="000000"/>
              </w:rPr>
              <w:t>一</w:t>
            </w:r>
            <w:proofErr w:type="gramEnd"/>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1DFE8" w14:textId="7CEC3286" w:rsidR="006E2608" w:rsidRDefault="00D63702">
            <w:r>
              <w:rPr>
                <w:rFonts w:ascii="標楷體" w:eastAsia="標楷體" w:hAnsi="標楷體" w:hint="eastAsia"/>
                <w:color w:val="FF0000"/>
                <w:kern w:val="0"/>
                <w:u w:val="single"/>
              </w:rPr>
              <w:t>國科會</w:t>
            </w:r>
            <w:r w:rsidR="005A50B4">
              <w:rPr>
                <w:rFonts w:ascii="標楷體" w:eastAsia="標楷體" w:hAnsi="標楷體"/>
                <w:color w:val="000000"/>
                <w:kern w:val="0"/>
              </w:rPr>
              <w:t>專題研究(</w:t>
            </w:r>
            <w:proofErr w:type="gramStart"/>
            <w:r w:rsidR="005A50B4">
              <w:rPr>
                <w:rFonts w:ascii="標楷體" w:eastAsia="標楷體" w:hAnsi="標楷體"/>
                <w:color w:val="000000"/>
                <w:kern w:val="0"/>
              </w:rPr>
              <w:t>含產學</w:t>
            </w:r>
            <w:proofErr w:type="gramEnd"/>
            <w:r w:rsidR="005A50B4">
              <w:rPr>
                <w:rFonts w:ascii="標楷體" w:eastAsia="標楷體" w:hAnsi="標楷體"/>
                <w:color w:val="000000"/>
                <w:kern w:val="0"/>
              </w:rPr>
              <w:t>合作)</w:t>
            </w:r>
            <w:r w:rsidR="005A50B4">
              <w:rPr>
                <w:rFonts w:ascii="標楷體" w:eastAsia="標楷體" w:hAnsi="標楷體"/>
                <w:color w:val="000000"/>
              </w:rPr>
              <w:t xml:space="preserve"> 計畫件數</w:t>
            </w:r>
          </w:p>
          <w:p w14:paraId="4917A936" w14:textId="77777777" w:rsidR="006E2608" w:rsidRDefault="005A50B4">
            <w:pPr>
              <w:rPr>
                <w:rFonts w:ascii="標楷體" w:eastAsia="標楷體" w:hAnsi="標楷體"/>
                <w:color w:val="000000"/>
              </w:rPr>
            </w:pPr>
            <w:r>
              <w:rPr>
                <w:rFonts w:ascii="標楷體" w:eastAsia="標楷體" w:hAnsi="標楷體"/>
                <w:color w:val="000000"/>
              </w:rPr>
              <w:t>（多年期計畫按年度計算，每1年度以1件計算，點數以1.2倍計算）</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365F8" w14:textId="77777777" w:rsidR="006E2608" w:rsidRDefault="005A50B4">
            <w:pPr>
              <w:pStyle w:val="a7"/>
              <w:numPr>
                <w:ilvl w:val="0"/>
                <w:numId w:val="12"/>
              </w:numPr>
              <w:ind w:left="336" w:hanging="336"/>
            </w:pPr>
            <w:r>
              <w:rPr>
                <w:rFonts w:ascii="標楷體" w:eastAsia="標楷體" w:hAnsi="標楷體"/>
                <w:color w:val="000000"/>
                <w:kern w:val="0"/>
              </w:rPr>
              <w:t>擔任</w:t>
            </w:r>
            <w:r>
              <w:rPr>
                <w:rFonts w:ascii="標楷體" w:eastAsia="標楷體" w:hAnsi="標楷體"/>
                <w:color w:val="000000"/>
              </w:rPr>
              <w:t>主持人：每件2點</w:t>
            </w:r>
          </w:p>
          <w:p w14:paraId="022B9D69" w14:textId="77777777" w:rsidR="006E2608" w:rsidRDefault="005A50B4">
            <w:pPr>
              <w:pStyle w:val="a7"/>
              <w:numPr>
                <w:ilvl w:val="0"/>
                <w:numId w:val="12"/>
              </w:numPr>
              <w:ind w:left="336" w:hanging="336"/>
            </w:pPr>
            <w:r>
              <w:rPr>
                <w:rFonts w:ascii="標楷體" w:eastAsia="標楷體" w:hAnsi="標楷體"/>
                <w:color w:val="000000"/>
                <w:kern w:val="0"/>
              </w:rPr>
              <w:t>擔任</w:t>
            </w:r>
            <w:r>
              <w:rPr>
                <w:rFonts w:ascii="標楷體" w:eastAsia="標楷體" w:hAnsi="標楷體"/>
                <w:color w:val="000000"/>
              </w:rPr>
              <w:t>共同主持人：每件1點</w:t>
            </w:r>
          </w:p>
          <w:p w14:paraId="5E426F1A" w14:textId="77777777" w:rsidR="006E2608" w:rsidRDefault="005A50B4">
            <w:pPr>
              <w:pStyle w:val="a7"/>
              <w:numPr>
                <w:ilvl w:val="0"/>
                <w:numId w:val="12"/>
              </w:numPr>
              <w:ind w:left="336" w:hanging="336"/>
            </w:pPr>
            <w:r>
              <w:rPr>
                <w:rFonts w:ascii="標楷體" w:eastAsia="標楷體" w:hAnsi="標楷體"/>
                <w:color w:val="000000"/>
                <w:kern w:val="0"/>
              </w:rPr>
              <w:t>擔任</w:t>
            </w:r>
            <w:r>
              <w:rPr>
                <w:rFonts w:ascii="標楷體" w:eastAsia="標楷體" w:hAnsi="標楷體"/>
                <w:color w:val="000000"/>
              </w:rPr>
              <w:t>協同主持人及研究人員：每件0.6點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2DDC"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339A" w14:textId="77777777" w:rsidR="006E2608" w:rsidRDefault="006E2608">
            <w:pPr>
              <w:rPr>
                <w:rFonts w:ascii="標楷體" w:eastAsia="標楷體" w:hAnsi="標楷體"/>
                <w:color w:val="000000"/>
              </w:rPr>
            </w:pPr>
          </w:p>
        </w:tc>
      </w:tr>
      <w:tr w:rsidR="006E2608" w14:paraId="7C0287D2" w14:textId="77777777">
        <w:trPr>
          <w:trHeight w:val="988"/>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E615" w14:textId="77777777" w:rsidR="006E2608" w:rsidRDefault="005A50B4">
            <w:pPr>
              <w:jc w:val="center"/>
              <w:rPr>
                <w:rFonts w:ascii="標楷體" w:eastAsia="標楷體" w:hAnsi="標楷體"/>
                <w:color w:val="000000"/>
              </w:rPr>
            </w:pPr>
            <w:r>
              <w:rPr>
                <w:rFonts w:ascii="標楷體" w:eastAsia="標楷體" w:hAnsi="標楷體"/>
                <w:color w:val="000000"/>
              </w:rPr>
              <w:t>二</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6156" w14:textId="09A5B074" w:rsidR="006E2608" w:rsidRDefault="00D63702">
            <w:r>
              <w:rPr>
                <w:rFonts w:ascii="標楷體" w:eastAsia="標楷體" w:hAnsi="標楷體" w:hint="eastAsia"/>
                <w:color w:val="FF0000"/>
                <w:kern w:val="0"/>
                <w:u w:val="single"/>
              </w:rPr>
              <w:t>國科會</w:t>
            </w:r>
            <w:r w:rsidR="005A50B4">
              <w:rPr>
                <w:rFonts w:ascii="標楷體" w:eastAsia="標楷體" w:hAnsi="標楷體"/>
                <w:color w:val="000000"/>
                <w:kern w:val="0"/>
              </w:rPr>
              <w:t>專題研究(</w:t>
            </w:r>
            <w:proofErr w:type="gramStart"/>
            <w:r w:rsidR="005A50B4">
              <w:rPr>
                <w:rFonts w:ascii="標楷體" w:eastAsia="標楷體" w:hAnsi="標楷體"/>
                <w:color w:val="000000"/>
                <w:kern w:val="0"/>
              </w:rPr>
              <w:t>含產學</w:t>
            </w:r>
            <w:proofErr w:type="gramEnd"/>
            <w:r w:rsidR="005A50B4">
              <w:rPr>
                <w:rFonts w:ascii="標楷體" w:eastAsia="標楷體" w:hAnsi="標楷體"/>
                <w:color w:val="000000"/>
                <w:kern w:val="0"/>
              </w:rPr>
              <w:t>合作)計畫金額</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F271"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擔任計畫主持人：每10萬元0.1點</w:t>
            </w:r>
          </w:p>
          <w:p w14:paraId="74F8967D"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擔任共同主持人：每20萬元0.1點</w:t>
            </w:r>
          </w:p>
          <w:p w14:paraId="7FB23783"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擔任協同主持人及研究人員：每30萬元0.1點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9166"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FD27" w14:textId="77777777" w:rsidR="006E2608" w:rsidRDefault="006E2608">
            <w:pPr>
              <w:rPr>
                <w:rFonts w:ascii="標楷體" w:eastAsia="標楷體" w:hAnsi="標楷體"/>
                <w:color w:val="000000"/>
              </w:rPr>
            </w:pPr>
          </w:p>
        </w:tc>
      </w:tr>
      <w:tr w:rsidR="006E2608" w14:paraId="596DA4E5" w14:textId="77777777">
        <w:trPr>
          <w:trHeight w:val="988"/>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8E82" w14:textId="77777777" w:rsidR="006E2608" w:rsidRDefault="005A50B4">
            <w:pPr>
              <w:jc w:val="center"/>
              <w:rPr>
                <w:rFonts w:ascii="標楷體" w:eastAsia="標楷體" w:hAnsi="標楷體"/>
                <w:color w:val="000000"/>
              </w:rPr>
            </w:pPr>
            <w:r>
              <w:rPr>
                <w:rFonts w:ascii="標楷體" w:eastAsia="標楷體" w:hAnsi="標楷體"/>
                <w:color w:val="000000"/>
              </w:rPr>
              <w:t>三</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4D796" w14:textId="785624DD" w:rsidR="006E2608" w:rsidRDefault="005A50B4">
            <w:r>
              <w:rPr>
                <w:rFonts w:ascii="標楷體" w:eastAsia="標楷體" w:hAnsi="標楷體"/>
                <w:color w:val="000000"/>
                <w:kern w:val="0"/>
              </w:rPr>
              <w:t>非屬</w:t>
            </w:r>
            <w:r w:rsidR="00D63702">
              <w:rPr>
                <w:rFonts w:ascii="標楷體" w:eastAsia="標楷體" w:hAnsi="標楷體" w:hint="eastAsia"/>
                <w:color w:val="FF0000"/>
                <w:kern w:val="0"/>
                <w:u w:val="single"/>
              </w:rPr>
              <w:t>國科會</w:t>
            </w:r>
            <w:r>
              <w:rPr>
                <w:rFonts w:ascii="標楷體" w:eastAsia="標楷體" w:hAnsi="標楷體"/>
                <w:color w:val="000000"/>
                <w:kern w:val="0"/>
              </w:rPr>
              <w:t>之研究計畫及企業產學合作案</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F5E79"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擔任計畫主持人：每10萬元0.3點</w:t>
            </w:r>
          </w:p>
          <w:p w14:paraId="37C81EA6"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擔任共同主持人：每10萬元0.2點</w:t>
            </w:r>
          </w:p>
          <w:p w14:paraId="134CA637"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擔任協同主持人及研究人員：每10萬元0.1點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52A2"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1C12" w14:textId="77777777" w:rsidR="006E2608" w:rsidRDefault="006E2608">
            <w:pPr>
              <w:rPr>
                <w:rFonts w:ascii="標楷體" w:eastAsia="標楷體" w:hAnsi="標楷體"/>
                <w:color w:val="000000"/>
              </w:rPr>
            </w:pPr>
          </w:p>
        </w:tc>
      </w:tr>
      <w:tr w:rsidR="006E2608" w14:paraId="77B1063E" w14:textId="77777777">
        <w:trPr>
          <w:trHeight w:val="704"/>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D489" w14:textId="77777777" w:rsidR="006E2608" w:rsidRDefault="005A50B4">
            <w:pPr>
              <w:jc w:val="center"/>
              <w:rPr>
                <w:rFonts w:ascii="標楷體" w:eastAsia="標楷體" w:hAnsi="標楷體"/>
                <w:color w:val="000000"/>
              </w:rPr>
            </w:pPr>
            <w:r>
              <w:rPr>
                <w:rFonts w:ascii="標楷體" w:eastAsia="標楷體" w:hAnsi="標楷體"/>
                <w:color w:val="000000"/>
              </w:rPr>
              <w:t>四</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56277" w14:textId="77777777" w:rsidR="006E2608" w:rsidRDefault="005A50B4">
            <w:pPr>
              <w:rPr>
                <w:rFonts w:ascii="標楷體" w:eastAsia="標楷體" w:hAnsi="標楷體"/>
                <w:color w:val="000000"/>
              </w:rPr>
            </w:pPr>
            <w:r>
              <w:rPr>
                <w:rFonts w:ascii="標楷體" w:eastAsia="標楷體" w:hAnsi="標楷體"/>
                <w:color w:val="000000"/>
              </w:rPr>
              <w:t>專利</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28C6" w14:textId="77777777" w:rsidR="006E2608" w:rsidRDefault="005A50B4">
            <w:pPr>
              <w:rPr>
                <w:rFonts w:ascii="標楷體" w:eastAsia="標楷體" w:hAnsi="標楷體"/>
                <w:color w:val="000000"/>
                <w:kern w:val="0"/>
              </w:rPr>
            </w:pPr>
            <w:r>
              <w:rPr>
                <w:rFonts w:ascii="標楷體" w:eastAsia="標楷體" w:hAnsi="標楷體"/>
                <w:color w:val="000000"/>
                <w:kern w:val="0"/>
              </w:rPr>
              <w:t>以本校名義獲發明專利，歐、美、日等國每件2點，我國每件1點。</w:t>
            </w:r>
          </w:p>
          <w:p w14:paraId="615C20F3" w14:textId="77777777" w:rsidR="006E2608" w:rsidRDefault="005A50B4">
            <w:r>
              <w:rPr>
                <w:rFonts w:ascii="標楷體" w:eastAsia="標楷體" w:hAnsi="標楷體"/>
                <w:color w:val="000000"/>
                <w:kern w:val="0"/>
              </w:rPr>
              <w:t>同一件專利在不同國家申請，僅</w:t>
            </w:r>
            <w:proofErr w:type="gramStart"/>
            <w:r>
              <w:rPr>
                <w:rFonts w:ascii="標楷體" w:eastAsia="標楷體" w:hAnsi="標楷體"/>
                <w:color w:val="000000"/>
                <w:kern w:val="0"/>
              </w:rPr>
              <w:t>採</w:t>
            </w:r>
            <w:proofErr w:type="gramEnd"/>
            <w:r>
              <w:rPr>
                <w:rFonts w:ascii="標楷體" w:eastAsia="標楷體" w:hAnsi="標楷體"/>
                <w:color w:val="000000"/>
                <w:kern w:val="0"/>
              </w:rPr>
              <w:t>計一次。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EF35"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916F" w14:textId="77777777" w:rsidR="006E2608" w:rsidRDefault="006E2608">
            <w:pPr>
              <w:rPr>
                <w:rFonts w:ascii="標楷體" w:eastAsia="標楷體" w:hAnsi="標楷體"/>
                <w:color w:val="000000"/>
              </w:rPr>
            </w:pPr>
          </w:p>
        </w:tc>
      </w:tr>
      <w:tr w:rsidR="006E2608" w14:paraId="71EA2793" w14:textId="77777777">
        <w:trPr>
          <w:trHeight w:val="704"/>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97E32" w14:textId="77777777" w:rsidR="006E2608" w:rsidRDefault="005A50B4">
            <w:pPr>
              <w:jc w:val="center"/>
              <w:rPr>
                <w:rFonts w:ascii="標楷體" w:eastAsia="標楷體" w:hAnsi="標楷體"/>
                <w:color w:val="000000"/>
              </w:rPr>
            </w:pPr>
            <w:r>
              <w:rPr>
                <w:rFonts w:ascii="標楷體" w:eastAsia="標楷體" w:hAnsi="標楷體"/>
                <w:color w:val="000000"/>
              </w:rPr>
              <w:t>五</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B1FCD" w14:textId="77777777" w:rsidR="006E2608" w:rsidRDefault="005A50B4">
            <w:pPr>
              <w:rPr>
                <w:rFonts w:ascii="標楷體" w:eastAsia="標楷體" w:hAnsi="標楷體"/>
                <w:color w:val="000000"/>
              </w:rPr>
            </w:pPr>
            <w:r>
              <w:rPr>
                <w:rFonts w:ascii="標楷體" w:eastAsia="標楷體" w:hAnsi="標楷體"/>
                <w:color w:val="000000"/>
              </w:rPr>
              <w:t>技轉</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DAEE" w14:textId="77777777" w:rsidR="006E2608" w:rsidRDefault="005A50B4">
            <w:pPr>
              <w:rPr>
                <w:rFonts w:ascii="標楷體" w:eastAsia="標楷體" w:hAnsi="標楷體"/>
                <w:color w:val="000000"/>
              </w:rPr>
            </w:pPr>
            <w:r>
              <w:rPr>
                <w:rFonts w:ascii="標楷體" w:eastAsia="標楷體" w:hAnsi="標楷體"/>
                <w:color w:val="000000"/>
              </w:rPr>
              <w:t>每10萬元2點，</w:t>
            </w:r>
          </w:p>
          <w:p w14:paraId="38FEC609" w14:textId="77777777" w:rsidR="006E2608" w:rsidRDefault="005A50B4">
            <w:pPr>
              <w:rPr>
                <w:rFonts w:ascii="標楷體" w:eastAsia="標楷體" w:hAnsi="標楷體"/>
                <w:color w:val="000000"/>
              </w:rPr>
            </w:pPr>
            <w:r>
              <w:rPr>
                <w:rFonts w:ascii="標楷體" w:eastAsia="標楷體" w:hAnsi="標楷體"/>
                <w:color w:val="000000"/>
              </w:rPr>
              <w:t>不足10萬元1點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1E90"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453E" w14:textId="77777777" w:rsidR="006E2608" w:rsidRDefault="006E2608">
            <w:pPr>
              <w:rPr>
                <w:rFonts w:ascii="標楷體" w:eastAsia="標楷體" w:hAnsi="標楷體"/>
                <w:color w:val="000000"/>
              </w:rPr>
            </w:pPr>
          </w:p>
        </w:tc>
      </w:tr>
      <w:tr w:rsidR="006E2608" w14:paraId="64F085EB" w14:textId="77777777">
        <w:trPr>
          <w:trHeight w:val="70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D1A41" w14:textId="77777777" w:rsidR="006E2608" w:rsidRDefault="005A50B4">
            <w:pPr>
              <w:snapToGrid w:val="0"/>
              <w:ind w:left="360" w:hanging="360"/>
              <w:jc w:val="center"/>
              <w:rPr>
                <w:rFonts w:eastAsia="標楷體"/>
                <w:color w:val="000000"/>
              </w:rPr>
            </w:pPr>
            <w:r>
              <w:rPr>
                <w:rFonts w:eastAsia="標楷體"/>
                <w:color w:val="000000"/>
              </w:rPr>
              <w:t>六</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5002A" w14:textId="77777777" w:rsidR="006E2608" w:rsidRDefault="005A50B4">
            <w:pPr>
              <w:rPr>
                <w:rFonts w:ascii="標楷體" w:eastAsia="標楷體" w:hAnsi="標楷體"/>
                <w:color w:val="000000"/>
              </w:rPr>
            </w:pPr>
            <w:r>
              <w:rPr>
                <w:rFonts w:ascii="標楷體" w:eastAsia="標楷體" w:hAnsi="標楷體"/>
                <w:color w:val="000000"/>
              </w:rPr>
              <w:t>學術榮譽</w:t>
            </w:r>
          </w:p>
          <w:p w14:paraId="024408DA" w14:textId="77777777" w:rsidR="006E2608" w:rsidRDefault="005A50B4">
            <w:pPr>
              <w:rPr>
                <w:rFonts w:ascii="標楷體" w:eastAsia="標楷體" w:hAnsi="標楷體"/>
                <w:color w:val="000000"/>
              </w:rPr>
            </w:pPr>
            <w:r>
              <w:rPr>
                <w:rFonts w:ascii="標楷體" w:eastAsia="標楷體" w:hAnsi="標楷體"/>
                <w:color w:val="000000"/>
              </w:rPr>
              <w:t>（本項最高5點）</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5283"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政府頒發傑出研究或產學合作獎：最高5點。</w:t>
            </w:r>
          </w:p>
          <w:p w14:paraId="31AE31BA"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本校頒發傑出研究或產學合作獎：每次3點。</w:t>
            </w:r>
          </w:p>
          <w:p w14:paraId="02B677A5" w14:textId="77777777" w:rsidR="006E2608" w:rsidRDefault="005A50B4">
            <w:pPr>
              <w:pStyle w:val="a7"/>
              <w:numPr>
                <w:ilvl w:val="0"/>
                <w:numId w:val="12"/>
              </w:numPr>
              <w:ind w:left="336" w:hanging="336"/>
              <w:rPr>
                <w:rFonts w:ascii="標楷體" w:eastAsia="標楷體" w:hAnsi="標楷體"/>
                <w:color w:val="000000"/>
              </w:rPr>
            </w:pPr>
            <w:bookmarkStart w:id="2" w:name="_Hlk93399179"/>
            <w:r>
              <w:rPr>
                <w:rFonts w:ascii="標楷體" w:eastAsia="標楷體" w:hAnsi="標楷體"/>
                <w:color w:val="000000"/>
              </w:rPr>
              <w:t>本院頒發傑出研究或產學合作獎：每次1點。</w:t>
            </w:r>
            <w:bookmarkEnd w:id="2"/>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9952"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AC9B" w14:textId="77777777" w:rsidR="006E2608" w:rsidRDefault="006E2608">
            <w:pPr>
              <w:rPr>
                <w:rFonts w:ascii="標楷體" w:eastAsia="標楷體" w:hAnsi="標楷體"/>
                <w:color w:val="000000"/>
              </w:rPr>
            </w:pPr>
          </w:p>
        </w:tc>
      </w:tr>
      <w:tr w:rsidR="006E2608" w14:paraId="5F1894D7" w14:textId="77777777">
        <w:trPr>
          <w:trHeight w:val="462"/>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E7520" w14:textId="77777777" w:rsidR="006E2608" w:rsidRDefault="005A50B4">
            <w:pPr>
              <w:snapToGrid w:val="0"/>
              <w:ind w:left="360" w:hanging="360"/>
              <w:jc w:val="center"/>
              <w:rPr>
                <w:rFonts w:eastAsia="標楷體"/>
                <w:color w:val="000000"/>
              </w:rPr>
            </w:pPr>
            <w:r>
              <w:rPr>
                <w:rFonts w:eastAsia="標楷體"/>
                <w:color w:val="000000"/>
              </w:rPr>
              <w:t>七</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05299" w14:textId="77777777" w:rsidR="006E2608" w:rsidRDefault="005A50B4">
            <w:pPr>
              <w:snapToGrid w:val="0"/>
            </w:pPr>
            <w:r>
              <w:rPr>
                <w:rFonts w:ascii="標楷體" w:eastAsia="標楷體" w:hAnsi="標楷體"/>
                <w:color w:val="000000"/>
                <w:kern w:val="0"/>
              </w:rPr>
              <w:t>執行或承辦國內或國際學術性研討會，擔任大會主席、議程主席或其它分項主席</w:t>
            </w:r>
          </w:p>
          <w:p w14:paraId="549D88BA" w14:textId="77777777" w:rsidR="006E2608" w:rsidRDefault="005A50B4">
            <w:pPr>
              <w:snapToGrid w:val="0"/>
              <w:rPr>
                <w:rFonts w:ascii="標楷體" w:eastAsia="標楷體" w:hAnsi="標楷體"/>
                <w:color w:val="000000"/>
              </w:rPr>
            </w:pPr>
            <w:r>
              <w:rPr>
                <w:rFonts w:ascii="標楷體" w:eastAsia="標楷體" w:hAnsi="標楷體"/>
                <w:color w:val="000000"/>
              </w:rPr>
              <w:t>（本項最高3點）</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33CE9"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國際學術性研討會：每次1點</w:t>
            </w:r>
          </w:p>
          <w:p w14:paraId="3D947B5B"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國內學術性研討會：每次0.5點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1B31"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E512" w14:textId="77777777" w:rsidR="006E2608" w:rsidRDefault="006E2608">
            <w:pPr>
              <w:rPr>
                <w:rFonts w:ascii="標楷體" w:eastAsia="標楷體" w:hAnsi="標楷體"/>
                <w:color w:val="000000"/>
              </w:rPr>
            </w:pPr>
          </w:p>
        </w:tc>
      </w:tr>
      <w:tr w:rsidR="006E2608" w14:paraId="4B1047D7" w14:textId="77777777">
        <w:trPr>
          <w:trHeight w:val="558"/>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E9E0" w14:textId="77777777" w:rsidR="006E2608" w:rsidRDefault="005A50B4">
            <w:pPr>
              <w:jc w:val="center"/>
              <w:rPr>
                <w:rFonts w:ascii="標楷體" w:eastAsia="標楷體" w:hAnsi="標楷體"/>
                <w:color w:val="000000"/>
              </w:rPr>
            </w:pPr>
            <w:r>
              <w:rPr>
                <w:rFonts w:ascii="標楷體" w:eastAsia="標楷體" w:hAnsi="標楷體"/>
                <w:color w:val="000000"/>
              </w:rPr>
              <w:t>八</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3142F" w14:textId="77777777" w:rsidR="006E2608" w:rsidRDefault="005A50B4">
            <w:pPr>
              <w:snapToGrid w:val="0"/>
              <w:jc w:val="both"/>
              <w:rPr>
                <w:rFonts w:ascii="標楷體" w:eastAsia="標楷體" w:hAnsi="標楷體"/>
                <w:color w:val="000000"/>
              </w:rPr>
            </w:pPr>
            <w:r>
              <w:rPr>
                <w:rFonts w:ascii="標楷體" w:eastAsia="標楷體" w:hAnsi="標楷體"/>
                <w:color w:val="000000"/>
              </w:rPr>
              <w:t>專業期刊編輯</w:t>
            </w:r>
          </w:p>
          <w:p w14:paraId="304A38CD" w14:textId="77777777" w:rsidR="006E2608" w:rsidRDefault="005A50B4">
            <w:pPr>
              <w:snapToGrid w:val="0"/>
              <w:jc w:val="both"/>
              <w:rPr>
                <w:rFonts w:ascii="標楷體" w:eastAsia="標楷體" w:hAnsi="標楷體"/>
                <w:color w:val="000000"/>
              </w:rPr>
            </w:pPr>
            <w:r>
              <w:rPr>
                <w:rFonts w:ascii="標楷體" w:eastAsia="標楷體" w:hAnsi="標楷體"/>
                <w:color w:val="000000"/>
              </w:rPr>
              <w:t>（本項最高3點）</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CF44"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SCI、EI期刊主編、總編輯每年3點，副主編、編輯或副編輯每年2點。</w:t>
            </w:r>
          </w:p>
          <w:p w14:paraId="6B291F6B"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t>國際期刊(非SCI、EI期刊) 主編、總編輯每年2.5點，副主編、編輯或副編輯每年1點。</w:t>
            </w:r>
          </w:p>
          <w:p w14:paraId="23A74329" w14:textId="77777777" w:rsidR="006E2608" w:rsidRDefault="005A50B4">
            <w:pPr>
              <w:pStyle w:val="a7"/>
              <w:numPr>
                <w:ilvl w:val="0"/>
                <w:numId w:val="12"/>
              </w:numPr>
              <w:ind w:left="336" w:hanging="336"/>
              <w:rPr>
                <w:rFonts w:ascii="標楷體" w:eastAsia="標楷體" w:hAnsi="標楷體"/>
                <w:color w:val="000000"/>
              </w:rPr>
            </w:pPr>
            <w:r>
              <w:rPr>
                <w:rFonts w:ascii="標楷體" w:eastAsia="標楷體" w:hAnsi="標楷體"/>
                <w:color w:val="000000"/>
              </w:rPr>
              <w:lastRenderedPageBreak/>
              <w:t>國內期刊主編、總編輯每年0.2點，副主編、編輯或副編輯每年0.1點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35F6"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15CE" w14:textId="77777777" w:rsidR="006E2608" w:rsidRDefault="006E2608">
            <w:pPr>
              <w:rPr>
                <w:rFonts w:ascii="標楷體" w:eastAsia="標楷體" w:hAnsi="標楷體"/>
                <w:color w:val="000000"/>
              </w:rPr>
            </w:pPr>
          </w:p>
        </w:tc>
      </w:tr>
      <w:tr w:rsidR="006E2608" w14:paraId="50E127F9" w14:textId="77777777">
        <w:trPr>
          <w:trHeight w:val="1119"/>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F24C" w14:textId="77777777" w:rsidR="006E2608" w:rsidRDefault="005A50B4">
            <w:pPr>
              <w:jc w:val="center"/>
              <w:rPr>
                <w:rFonts w:ascii="標楷體" w:eastAsia="標楷體" w:hAnsi="標楷體"/>
                <w:color w:val="000000"/>
              </w:rPr>
            </w:pPr>
            <w:r>
              <w:rPr>
                <w:rFonts w:ascii="標楷體" w:eastAsia="標楷體" w:hAnsi="標楷體"/>
                <w:color w:val="000000"/>
              </w:rPr>
              <w:t>九</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C3CBB" w14:textId="77777777" w:rsidR="006E2608" w:rsidRDefault="005A50B4">
            <w:pPr>
              <w:rPr>
                <w:rFonts w:ascii="標楷體" w:eastAsia="標楷體" w:hAnsi="標楷體"/>
                <w:color w:val="000000"/>
              </w:rPr>
            </w:pPr>
            <w:r>
              <w:rPr>
                <w:rFonts w:ascii="標楷體" w:eastAsia="標楷體" w:hAnsi="標楷體"/>
                <w:color w:val="000000"/>
              </w:rPr>
              <w:t>主導企業設備捐贈或產學研發聯盟</w:t>
            </w:r>
          </w:p>
          <w:p w14:paraId="083293B9" w14:textId="77777777" w:rsidR="006E2608" w:rsidRDefault="005A50B4">
            <w:pPr>
              <w:rPr>
                <w:rFonts w:ascii="標楷體" w:eastAsia="標楷體" w:hAnsi="標楷體"/>
                <w:color w:val="000000"/>
              </w:rPr>
            </w:pPr>
            <w:r>
              <w:rPr>
                <w:rFonts w:ascii="標楷體" w:eastAsia="標楷體" w:hAnsi="標楷體"/>
                <w:color w:val="000000"/>
              </w:rPr>
              <w:t>（本項最高3點）</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9E61E" w14:textId="77777777" w:rsidR="006E2608" w:rsidRDefault="005A50B4">
            <w:pPr>
              <w:rPr>
                <w:rFonts w:ascii="標楷體" w:eastAsia="標楷體" w:hAnsi="標楷體"/>
                <w:color w:val="000000"/>
              </w:rPr>
            </w:pPr>
            <w:r>
              <w:rPr>
                <w:rFonts w:ascii="標楷體" w:eastAsia="標楷體" w:hAnsi="標楷體"/>
                <w:color w:val="000000"/>
              </w:rPr>
              <w:t>總捐贈金額每100萬元1點，未滿100萬元依比例計算。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D26E"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B561" w14:textId="77777777" w:rsidR="006E2608" w:rsidRDefault="006E2608">
            <w:pPr>
              <w:rPr>
                <w:rFonts w:ascii="標楷體" w:eastAsia="標楷體" w:hAnsi="標楷體"/>
                <w:color w:val="000000"/>
              </w:rPr>
            </w:pPr>
          </w:p>
        </w:tc>
      </w:tr>
      <w:tr w:rsidR="006E2608" w14:paraId="73B9860C" w14:textId="77777777">
        <w:trPr>
          <w:trHeight w:val="1119"/>
          <w:jc w:val="center"/>
        </w:trPr>
        <w:tc>
          <w:tcPr>
            <w:tcW w:w="78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8C75E36" w14:textId="77777777" w:rsidR="006E2608" w:rsidRDefault="005A50B4">
            <w:pPr>
              <w:jc w:val="center"/>
              <w:rPr>
                <w:rFonts w:ascii="標楷體" w:eastAsia="標楷體" w:hAnsi="標楷體"/>
                <w:color w:val="000000"/>
              </w:rPr>
            </w:pPr>
            <w:r>
              <w:rPr>
                <w:rFonts w:ascii="標楷體" w:eastAsia="標楷體" w:hAnsi="標楷體"/>
                <w:color w:val="000000"/>
              </w:rPr>
              <w:t>十</w:t>
            </w:r>
          </w:p>
        </w:tc>
        <w:tc>
          <w:tcPr>
            <w:tcW w:w="20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7626E4" w14:textId="77777777" w:rsidR="006E2608" w:rsidRDefault="005A50B4">
            <w:pPr>
              <w:rPr>
                <w:rFonts w:ascii="標楷體" w:eastAsia="標楷體" w:hAnsi="標楷體"/>
                <w:color w:val="000000"/>
              </w:rPr>
            </w:pPr>
            <w:r>
              <w:rPr>
                <w:rFonts w:ascii="標楷體" w:eastAsia="標楷體" w:hAnsi="標楷體"/>
                <w:color w:val="000000"/>
              </w:rPr>
              <w:t>其他</w:t>
            </w:r>
          </w:p>
          <w:p w14:paraId="26BEDA89" w14:textId="77777777" w:rsidR="006E2608" w:rsidRDefault="005A50B4">
            <w:pPr>
              <w:rPr>
                <w:rFonts w:ascii="標楷體" w:eastAsia="標楷體" w:hAnsi="標楷體"/>
                <w:color w:val="000000"/>
              </w:rPr>
            </w:pPr>
            <w:r>
              <w:rPr>
                <w:rFonts w:ascii="標楷體" w:eastAsia="標楷體" w:hAnsi="標楷體"/>
                <w:color w:val="000000"/>
              </w:rPr>
              <w:t>（本項最高3點）</w:t>
            </w:r>
          </w:p>
        </w:tc>
        <w:tc>
          <w:tcPr>
            <w:tcW w:w="34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2D28E38" w14:textId="77777777" w:rsidR="006E2608" w:rsidRDefault="005A50B4">
            <w:r>
              <w:rPr>
                <w:rFonts w:ascii="標楷體" w:eastAsia="標楷體" w:hAnsi="標楷體"/>
                <w:color w:val="000000"/>
                <w:kern w:val="0"/>
              </w:rPr>
              <w:t>參與學術競賽、配合學校政策執行計畫或其他重要事蹟有顯著成效者，由系教評會就所提供資料評定成績</w:t>
            </w:r>
            <w:r>
              <w:rPr>
                <w:rFonts w:ascii="標楷體" w:eastAsia="標楷體" w:hAnsi="標楷體"/>
                <w:color w:val="000000"/>
              </w:rPr>
              <w:t>。</w:t>
            </w: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2A6A2A7" w14:textId="77777777" w:rsidR="006E2608" w:rsidRDefault="006E2608">
            <w:pPr>
              <w:rPr>
                <w:rFonts w:ascii="標楷體" w:eastAsia="標楷體" w:hAnsi="標楷體"/>
                <w:color w:val="000000"/>
              </w:rPr>
            </w:pPr>
          </w:p>
        </w:tc>
        <w:tc>
          <w:tcPr>
            <w:tcW w:w="15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BAD63C" w14:textId="77777777" w:rsidR="006E2608" w:rsidRDefault="006E2608">
            <w:pPr>
              <w:rPr>
                <w:rFonts w:ascii="標楷體" w:eastAsia="標楷體" w:hAnsi="標楷體"/>
                <w:color w:val="000000"/>
              </w:rPr>
            </w:pPr>
          </w:p>
        </w:tc>
      </w:tr>
      <w:tr w:rsidR="006E2608" w14:paraId="0DC9E4F5" w14:textId="77777777">
        <w:trPr>
          <w:trHeight w:val="1119"/>
          <w:jc w:val="center"/>
        </w:trPr>
        <w:tc>
          <w:tcPr>
            <w:tcW w:w="6232"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87ACA" w14:textId="77777777" w:rsidR="006E2608" w:rsidRDefault="005A50B4">
            <w:pPr>
              <w:jc w:val="center"/>
              <w:rPr>
                <w:rFonts w:ascii="標楷體" w:eastAsia="標楷體" w:hAnsi="標楷體"/>
                <w:color w:val="000000"/>
                <w:sz w:val="32"/>
                <w:szCs w:val="32"/>
              </w:rPr>
            </w:pPr>
            <w:r>
              <w:rPr>
                <w:rFonts w:ascii="標楷體" w:eastAsia="標楷體" w:hAnsi="標楷體"/>
                <w:color w:val="000000"/>
                <w:sz w:val="32"/>
                <w:szCs w:val="32"/>
              </w:rPr>
              <w:t>總點數</w:t>
            </w: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57BE" w14:textId="77777777" w:rsidR="006E2608" w:rsidRDefault="006E2608">
            <w:pPr>
              <w:rPr>
                <w:rFonts w:ascii="標楷體" w:eastAsia="標楷體" w:hAnsi="標楷體"/>
                <w:color w:val="000000"/>
              </w:rPr>
            </w:pPr>
          </w:p>
        </w:tc>
        <w:tc>
          <w:tcPr>
            <w:tcW w:w="150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1559" w14:textId="77777777" w:rsidR="006E2608" w:rsidRDefault="006E2608">
            <w:pPr>
              <w:rPr>
                <w:rFonts w:ascii="標楷體" w:eastAsia="標楷體" w:hAnsi="標楷體"/>
                <w:color w:val="000000"/>
              </w:rPr>
            </w:pPr>
          </w:p>
        </w:tc>
      </w:tr>
    </w:tbl>
    <w:p w14:paraId="15613484" w14:textId="77777777" w:rsidR="006E2608" w:rsidRDefault="005A50B4">
      <w:pPr>
        <w:spacing w:line="300" w:lineRule="exact"/>
        <w:ind w:left="489" w:hanging="475"/>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：非代表著作之其他研究成果應為送審人取得前一等級教師資格後之著作。</w:t>
      </w:r>
    </w:p>
    <w:p w14:paraId="4D28778E" w14:textId="77777777" w:rsidR="006E2608" w:rsidRDefault="006E2608">
      <w:pPr>
        <w:ind w:left="240" w:hanging="240"/>
        <w:rPr>
          <w:rFonts w:ascii="標楷體" w:eastAsia="標楷體" w:hAnsi="標楷體"/>
          <w:color w:val="000000"/>
        </w:rPr>
      </w:pPr>
    </w:p>
    <w:p w14:paraId="247F66FE" w14:textId="77777777" w:rsidR="006E2608" w:rsidRDefault="005A50B4">
      <w:pPr>
        <w:ind w:left="240" w:hanging="240"/>
        <w:rPr>
          <w:rFonts w:ascii="標楷體" w:eastAsia="標楷體" w:hAnsi="標楷體"/>
          <w:color w:val="000000"/>
        </w:rPr>
      </w:pPr>
      <w:r>
        <w:rPr>
          <w:rFonts w:ascii="標楷體" w:eastAsia="標楷體" w:hAnsi="標楷體"/>
          <w:color w:val="000000"/>
        </w:rPr>
        <w:t>※升等申請人需詳實填寫後簽章，經系(所)教評會議初審後，送交院教評會議</w:t>
      </w:r>
      <w:proofErr w:type="gramStart"/>
      <w:r>
        <w:rPr>
          <w:rFonts w:ascii="標楷體" w:eastAsia="標楷體" w:hAnsi="標楷體"/>
          <w:color w:val="000000"/>
        </w:rPr>
        <w:t>複</w:t>
      </w:r>
      <w:proofErr w:type="gramEnd"/>
      <w:r>
        <w:rPr>
          <w:rFonts w:ascii="標楷體" w:eastAsia="標楷體" w:hAnsi="標楷體"/>
          <w:color w:val="000000"/>
        </w:rPr>
        <w:t>審。請各系(所)詳實查核各項資料。若填報</w:t>
      </w:r>
      <w:proofErr w:type="gramStart"/>
      <w:r>
        <w:rPr>
          <w:rFonts w:ascii="標楷體" w:eastAsia="標楷體" w:hAnsi="標楷體"/>
          <w:color w:val="000000"/>
        </w:rPr>
        <w:t>不實致影響</w:t>
      </w:r>
      <w:proofErr w:type="gramEnd"/>
      <w:r>
        <w:rPr>
          <w:rFonts w:ascii="標楷體" w:eastAsia="標楷體" w:hAnsi="標楷體"/>
          <w:color w:val="000000"/>
        </w:rPr>
        <w:t>升等結果，請填表人自行負責。</w:t>
      </w:r>
    </w:p>
    <w:p w14:paraId="469EE109" w14:textId="77777777" w:rsidR="006E2608" w:rsidRDefault="006E2608">
      <w:pPr>
        <w:rPr>
          <w:rFonts w:ascii="標楷體" w:eastAsia="標楷體" w:hAnsi="標楷體"/>
          <w:color w:val="000000"/>
        </w:rPr>
      </w:pPr>
    </w:p>
    <w:p w14:paraId="582BEA0A" w14:textId="77777777" w:rsidR="006E2608" w:rsidRDefault="006E2608">
      <w:pPr>
        <w:rPr>
          <w:rFonts w:ascii="標楷體" w:eastAsia="標楷體" w:hAnsi="標楷體"/>
          <w:color w:val="000000"/>
        </w:rPr>
      </w:pPr>
    </w:p>
    <w:p w14:paraId="27BE5E52" w14:textId="77777777" w:rsidR="006E2608" w:rsidRDefault="005A50B4">
      <w:pPr>
        <w:rPr>
          <w:rFonts w:ascii="標楷體" w:eastAsia="標楷體" w:hAnsi="標楷體"/>
          <w:color w:val="000000"/>
          <w:sz w:val="36"/>
          <w:szCs w:val="36"/>
        </w:rPr>
      </w:pPr>
      <w:r>
        <w:rPr>
          <w:rFonts w:ascii="標楷體" w:eastAsia="標楷體" w:hAnsi="標楷體"/>
          <w:color w:val="000000"/>
          <w:sz w:val="36"/>
          <w:szCs w:val="36"/>
        </w:rPr>
        <w:t>填 表 人 ：______________   日期：___年___月___日</w:t>
      </w:r>
    </w:p>
    <w:p w14:paraId="4D353DB7" w14:textId="77777777" w:rsidR="006E2608" w:rsidRDefault="006E2608">
      <w:pPr>
        <w:rPr>
          <w:rFonts w:ascii="標楷體" w:eastAsia="標楷體" w:hAnsi="標楷體"/>
          <w:color w:val="000000"/>
          <w:sz w:val="36"/>
          <w:szCs w:val="36"/>
        </w:rPr>
      </w:pPr>
    </w:p>
    <w:p w14:paraId="0E8D6BBA" w14:textId="77777777" w:rsidR="006E2608" w:rsidRDefault="005A50B4">
      <w:pPr>
        <w:rPr>
          <w:rFonts w:ascii="標楷體" w:eastAsia="標楷體" w:hAnsi="標楷體"/>
          <w:color w:val="000000"/>
          <w:sz w:val="36"/>
          <w:szCs w:val="36"/>
        </w:rPr>
      </w:pPr>
      <w:r>
        <w:rPr>
          <w:rFonts w:ascii="標楷體" w:eastAsia="標楷體" w:hAnsi="標楷體"/>
          <w:color w:val="000000"/>
          <w:sz w:val="36"/>
          <w:szCs w:val="36"/>
        </w:rPr>
        <w:t>系(所)主管:_______________  日期：___年___月___日</w:t>
      </w:r>
    </w:p>
    <w:p w14:paraId="626A74AB" w14:textId="77777777" w:rsidR="006E2608" w:rsidRDefault="006E2608">
      <w:pPr>
        <w:snapToGrid w:val="0"/>
        <w:spacing w:line="0" w:lineRule="atLeast"/>
        <w:ind w:right="960"/>
        <w:rPr>
          <w:color w:val="000000"/>
        </w:rPr>
      </w:pPr>
    </w:p>
    <w:sectPr w:rsidR="006E2608" w:rsidSect="00046ED2">
      <w:pgSz w:w="11906" w:h="16838"/>
      <w:pgMar w:top="568" w:right="99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BAC8" w14:textId="77777777" w:rsidR="002D01FF" w:rsidRDefault="002D01FF">
      <w:r>
        <w:separator/>
      </w:r>
    </w:p>
  </w:endnote>
  <w:endnote w:type="continuationSeparator" w:id="0">
    <w:p w14:paraId="403DB371" w14:textId="77777777" w:rsidR="002D01FF" w:rsidRDefault="002D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B69F" w14:textId="77777777" w:rsidR="002D01FF" w:rsidRDefault="002D01FF">
      <w:r>
        <w:rPr>
          <w:color w:val="000000"/>
        </w:rPr>
        <w:separator/>
      </w:r>
    </w:p>
  </w:footnote>
  <w:footnote w:type="continuationSeparator" w:id="0">
    <w:p w14:paraId="1D646BD8" w14:textId="77777777" w:rsidR="002D01FF" w:rsidRDefault="002D0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AA"/>
    <w:multiLevelType w:val="multilevel"/>
    <w:tmpl w:val="86A6EF4E"/>
    <w:lvl w:ilvl="0">
      <w:start w:val="1"/>
      <w:numFmt w:val="taiwaneseCountingThousand"/>
      <w:lvlText w:val="%1、"/>
      <w:lvlJc w:val="left"/>
      <w:pPr>
        <w:ind w:left="960" w:hanging="96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454D7"/>
    <w:multiLevelType w:val="multilevel"/>
    <w:tmpl w:val="1688E45E"/>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E81539"/>
    <w:multiLevelType w:val="multilevel"/>
    <w:tmpl w:val="B5425616"/>
    <w:lvl w:ilvl="0">
      <w:start w:val="1"/>
      <w:numFmt w:val="taiwaneseCountingThousand"/>
      <w:lvlText w:val="（%1）"/>
      <w:lvlJc w:val="left"/>
      <w:pPr>
        <w:ind w:left="1422" w:hanging="855"/>
      </w:pPr>
      <w:rPr>
        <w:lang w:val="en-US"/>
      </w:rPr>
    </w:lvl>
    <w:lvl w:ilvl="1">
      <w:start w:val="1"/>
      <w:numFmt w:val="decimal"/>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3FC5636"/>
    <w:multiLevelType w:val="multilevel"/>
    <w:tmpl w:val="1DCC621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1B554DC"/>
    <w:multiLevelType w:val="multilevel"/>
    <w:tmpl w:val="795A0E78"/>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05268B8"/>
    <w:multiLevelType w:val="multilevel"/>
    <w:tmpl w:val="2F86A0D2"/>
    <w:lvl w:ilvl="0">
      <w:start w:val="1"/>
      <w:numFmt w:val="taiwaneseCountingThousand"/>
      <w:lvlText w:val="%1、"/>
      <w:lvlJc w:val="left"/>
      <w:pPr>
        <w:ind w:left="960" w:hanging="96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564CE0"/>
    <w:multiLevelType w:val="multilevel"/>
    <w:tmpl w:val="05EC7062"/>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F50FD3"/>
    <w:multiLevelType w:val="multilevel"/>
    <w:tmpl w:val="97C848A4"/>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C4465F"/>
    <w:multiLevelType w:val="multilevel"/>
    <w:tmpl w:val="BD1EC1F2"/>
    <w:lvl w:ilvl="0">
      <w:start w:val="1"/>
      <w:numFmt w:val="taiwaneseCountingThousand"/>
      <w:lvlText w:val="%1、"/>
      <w:lvlJc w:val="left"/>
      <w:pPr>
        <w:ind w:left="960" w:hanging="96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8F66880"/>
    <w:multiLevelType w:val="multilevel"/>
    <w:tmpl w:val="7DF8F994"/>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65662E"/>
    <w:multiLevelType w:val="multilevel"/>
    <w:tmpl w:val="97226784"/>
    <w:lvl w:ilvl="0">
      <w:start w:val="1"/>
      <w:numFmt w:val="taiwaneseCountingThousand"/>
      <w:lvlText w:val="%1、"/>
      <w:lvlJc w:val="left"/>
      <w:pPr>
        <w:ind w:left="960" w:hanging="96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E764D7E"/>
    <w:multiLevelType w:val="multilevel"/>
    <w:tmpl w:val="3E3A9E5E"/>
    <w:lvl w:ilvl="0">
      <w:start w:val="1"/>
      <w:numFmt w:val="decimal"/>
      <w:lvlText w:val="(%1)"/>
      <w:lvlJc w:val="left"/>
      <w:pPr>
        <w:ind w:left="176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
  </w:num>
  <w:num w:numId="3">
    <w:abstractNumId w:val="6"/>
  </w:num>
  <w:num w:numId="4">
    <w:abstractNumId w:val="11"/>
  </w:num>
  <w:num w:numId="5">
    <w:abstractNumId w:val="1"/>
  </w:num>
  <w:num w:numId="6">
    <w:abstractNumId w:val="9"/>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08"/>
    <w:rsid w:val="00046ED2"/>
    <w:rsid w:val="002A7C65"/>
    <w:rsid w:val="002D01FF"/>
    <w:rsid w:val="00384A03"/>
    <w:rsid w:val="00384F80"/>
    <w:rsid w:val="005A50B4"/>
    <w:rsid w:val="005B1839"/>
    <w:rsid w:val="00627530"/>
    <w:rsid w:val="006E2608"/>
    <w:rsid w:val="00BA366E"/>
    <w:rsid w:val="00D63702"/>
    <w:rsid w:val="00EC2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D1A6"/>
  <w15:docId w15:val="{890D5C65-390D-4C3E-8266-E4925D22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rPr>
      <w:rFonts w:cs="Times New Roman"/>
    </w:rPr>
  </w:style>
  <w:style w:type="character" w:styleId="a6">
    <w:name w:val="Hyperlink"/>
    <w:rPr>
      <w:rFonts w:cs="Times New Roman"/>
      <w:color w:val="0000FF"/>
      <w:u w:val="single"/>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hAnsi="Times New Roman" w:cs="Times New Roman"/>
      <w:sz w:val="16"/>
      <w:szCs w:val="16"/>
    </w:rPr>
  </w:style>
  <w:style w:type="paragraph" w:customStyle="1" w:styleId="aa">
    <w:name w:val="字元"/>
    <w:basedOn w:val="a"/>
    <w:pPr>
      <w:widowControl/>
      <w:spacing w:after="160" w:line="240" w:lineRule="exact"/>
    </w:pPr>
    <w:rPr>
      <w:rFonts w:ascii="Tahoma" w:hAnsi="Tahoma"/>
      <w:kern w:val="0"/>
      <w:sz w:val="20"/>
      <w:szCs w:val="20"/>
      <w:lang w:eastAsia="en-US"/>
    </w:rPr>
  </w:style>
  <w:style w:type="paragraph" w:customStyle="1" w:styleId="1">
    <w:name w:val="字元1"/>
    <w:basedOn w:val="a"/>
    <w:pPr>
      <w:widowControl/>
      <w:spacing w:after="160" w:line="240" w:lineRule="exact"/>
    </w:pPr>
    <w:rPr>
      <w:rFonts w:ascii="Tahoma" w:hAnsi="Tahoma"/>
      <w:kern w:val="0"/>
      <w:sz w:val="20"/>
      <w:szCs w:val="20"/>
      <w:lang w:eastAsia="en-US"/>
    </w:rPr>
  </w:style>
  <w:style w:type="paragraph" w:styleId="ab">
    <w:name w:val="Plain Text"/>
    <w:basedOn w:val="a"/>
    <w:pPr>
      <w:widowControl/>
    </w:pPr>
    <w:rPr>
      <w:rFonts w:ascii="Arial" w:hAnsi="Arial" w:cs="Arial"/>
      <w:kern w:val="0"/>
      <w:sz w:val="18"/>
      <w:szCs w:val="18"/>
    </w:rPr>
  </w:style>
  <w:style w:type="character" w:customStyle="1" w:styleId="ac">
    <w:name w:val="純文字 字元"/>
    <w:basedOn w:val="a0"/>
    <w:rPr>
      <w:rFonts w:ascii="Arial" w:hAnsi="Arial" w:cs="Arial"/>
      <w:sz w:val="18"/>
      <w:szCs w:val="18"/>
    </w:rPr>
  </w:style>
  <w:style w:type="paragraph" w:styleId="ad">
    <w:name w:val="Balloon Text"/>
    <w:basedOn w:val="a"/>
    <w:rPr>
      <w:rFonts w:ascii="Cambria" w:hAnsi="Cambria"/>
      <w:sz w:val="18"/>
      <w:szCs w:val="18"/>
    </w:rPr>
  </w:style>
  <w:style w:type="character" w:customStyle="1" w:styleId="ae">
    <w:name w:val="註解方塊文字 字元"/>
    <w:basedOn w:val="a0"/>
    <w:rPr>
      <w:rFonts w:ascii="Cambria" w:eastAsia="新細明體" w:hAnsi="Cambria" w:cs="Times New Roman"/>
      <w:kern w:val="3"/>
      <w:sz w:val="18"/>
      <w:szCs w:val="18"/>
    </w:rPr>
  </w:style>
  <w:style w:type="paragraph" w:customStyle="1" w:styleId="10">
    <w:name w:val="清單段落1"/>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Paragraph">
    <w:name w:val="Table Paragraph"/>
    <w:basedOn w:val="a"/>
    <w:rPr>
      <w:rFonts w:ascii="Calibri" w:hAnsi="Calibri"/>
      <w:kern w:val="0"/>
      <w:sz w:val="22"/>
      <w:szCs w:val="22"/>
      <w:lang w:eastAsia="en-US"/>
    </w:rPr>
  </w:style>
  <w:style w:type="character" w:customStyle="1" w:styleId="af">
    <w:name w:val="清單段落 字元"/>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電資學院 103學年度第1學期第3次院教評會議審議提案</dc:title>
  <dc:subject/>
  <dc:creator>user</dc:creator>
  <dc:description/>
  <cp:lastModifiedBy>User-034389</cp:lastModifiedBy>
  <cp:revision>2</cp:revision>
  <cp:lastPrinted>2023-11-28T03:38:00Z</cp:lastPrinted>
  <dcterms:created xsi:type="dcterms:W3CDTF">2023-11-28T03:38:00Z</dcterms:created>
  <dcterms:modified xsi:type="dcterms:W3CDTF">2023-11-28T03:38:00Z</dcterms:modified>
</cp:coreProperties>
</file>